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28ED" w14:textId="74DFE56C" w:rsidR="004E398A" w:rsidRPr="00A553EE" w:rsidRDefault="004E398A" w:rsidP="0000008A">
      <w:pPr>
        <w:spacing w:after="0"/>
        <w:jc w:val="center"/>
        <w:rPr>
          <w:rFonts w:ascii="Times New Roman" w:eastAsia="Palatino Linotype" w:hAnsi="Times New Roman" w:cs="Times New Roman"/>
          <w:sz w:val="28"/>
          <w:szCs w:val="28"/>
        </w:rPr>
      </w:pPr>
      <w:r w:rsidRPr="00A553EE">
        <w:rPr>
          <w:rFonts w:ascii="Times New Roman" w:eastAsia="Palatino Linotype" w:hAnsi="Times New Roman" w:cs="Times New Roman"/>
          <w:b/>
          <w:sz w:val="28"/>
          <w:szCs w:val="28"/>
        </w:rPr>
        <w:t>Measuring Supply Chain Performance on Residential Construction</w:t>
      </w:r>
    </w:p>
    <w:p w14:paraId="20F1317D" w14:textId="77777777" w:rsidR="002A3469" w:rsidRPr="00A553EE" w:rsidRDefault="002A3469" w:rsidP="0000008A">
      <w:pPr>
        <w:pStyle w:val="Title"/>
        <w:spacing w:before="0" w:line="276" w:lineRule="auto"/>
        <w:ind w:left="0"/>
        <w:jc w:val="left"/>
        <w:rPr>
          <w:rFonts w:ascii="Times New Roman" w:hAnsi="Times New Roman" w:cs="Times New Roman"/>
          <w:sz w:val="24"/>
          <w:szCs w:val="24"/>
          <w:lang w:val="id-ID"/>
        </w:rPr>
      </w:pPr>
    </w:p>
    <w:p w14:paraId="05F67CC6" w14:textId="77777777" w:rsidR="00245F2B" w:rsidRPr="00245F2B" w:rsidRDefault="00245F2B" w:rsidP="0000008A">
      <w:pPr>
        <w:spacing w:after="0"/>
        <w:jc w:val="center"/>
        <w:rPr>
          <w:rFonts w:ascii="Times New Roman" w:eastAsia="Palatino Linotype" w:hAnsi="Times New Roman" w:cs="Times New Roman"/>
          <w:b/>
          <w:iCs/>
          <w:color w:val="000000"/>
          <w:sz w:val="24"/>
          <w:szCs w:val="24"/>
          <w:vertAlign w:val="superscript"/>
        </w:rPr>
      </w:pPr>
      <w:r w:rsidRPr="00245F2B">
        <w:rPr>
          <w:rFonts w:ascii="Times New Roman" w:eastAsia="Palatino Linotype" w:hAnsi="Times New Roman" w:cs="Times New Roman"/>
          <w:b/>
          <w:color w:val="000000"/>
          <w:sz w:val="24"/>
          <w:szCs w:val="24"/>
        </w:rPr>
        <w:t>Faqih Ramadhan</w:t>
      </w:r>
      <w:r w:rsidRPr="00245F2B">
        <w:rPr>
          <w:rFonts w:ascii="Times New Roman" w:eastAsia="Palatino Linotype" w:hAnsi="Times New Roman" w:cs="Times New Roman"/>
          <w:b/>
          <w:iCs/>
          <w:color w:val="000000"/>
          <w:sz w:val="24"/>
          <w:szCs w:val="24"/>
        </w:rPr>
        <w:t>, Muhamad Rizki, Nazrudin Fadilah, Aryati Indah Kusumastuti</w:t>
      </w:r>
    </w:p>
    <w:p w14:paraId="5C1D773E" w14:textId="77777777" w:rsidR="00245F2B" w:rsidRPr="00245F2B" w:rsidRDefault="00245F2B" w:rsidP="0000008A">
      <w:pPr>
        <w:spacing w:after="0"/>
        <w:jc w:val="center"/>
        <w:rPr>
          <w:rFonts w:ascii="Times New Roman" w:eastAsia="Palatino Linotype" w:hAnsi="Times New Roman" w:cs="Times New Roman"/>
          <w:color w:val="000000"/>
          <w:sz w:val="24"/>
          <w:szCs w:val="24"/>
        </w:rPr>
      </w:pPr>
      <w:r w:rsidRPr="00245F2B">
        <w:rPr>
          <w:rFonts w:ascii="Times New Roman" w:eastAsia="Palatino Linotype" w:hAnsi="Times New Roman" w:cs="Times New Roman"/>
          <w:color w:val="000000"/>
          <w:sz w:val="24"/>
          <w:szCs w:val="24"/>
        </w:rPr>
        <w:t>Universitas Swadaya Gunung Jati, Indonesia</w:t>
      </w:r>
    </w:p>
    <w:p w14:paraId="472F43DF" w14:textId="22D7A2C7" w:rsidR="002A3469" w:rsidRPr="00245F2B" w:rsidRDefault="00245F2B" w:rsidP="0000008A">
      <w:pPr>
        <w:pStyle w:val="Heading1"/>
        <w:spacing w:before="0" w:line="276" w:lineRule="auto"/>
        <w:ind w:left="0" w:right="-46"/>
        <w:jc w:val="center"/>
        <w:rPr>
          <w:rFonts w:ascii="Times New Roman" w:hAnsi="Times New Roman" w:cs="Times New Roman"/>
          <w:b w:val="0"/>
          <w:iCs/>
          <w:sz w:val="24"/>
          <w:szCs w:val="24"/>
          <w:lang w:val="id-ID"/>
        </w:rPr>
      </w:pPr>
      <w:r w:rsidRPr="00245F2B">
        <w:rPr>
          <w:rFonts w:ascii="Times New Roman" w:hAnsi="Times New Roman" w:cs="Times New Roman"/>
          <w:b w:val="0"/>
          <w:iCs/>
          <w:sz w:val="24"/>
          <w:szCs w:val="24"/>
          <w:lang w:val="id-ID"/>
        </w:rPr>
        <w:t xml:space="preserve">Email: </w:t>
      </w:r>
      <w:hyperlink r:id="rId9" w:history="1">
        <w:r w:rsidRPr="0000008A">
          <w:rPr>
            <w:rStyle w:val="Hyperlink"/>
            <w:rFonts w:ascii="Times New Roman" w:hAnsi="Times New Roman" w:cs="Times New Roman"/>
            <w:b w:val="0"/>
            <w:iCs/>
            <w:color w:val="auto"/>
            <w:sz w:val="24"/>
            <w:szCs w:val="24"/>
            <w:u w:val="none"/>
            <w:lang w:val="id-ID"/>
          </w:rPr>
          <w:t>faqihr464@gmail.com</w:t>
        </w:r>
      </w:hyperlink>
      <w:r w:rsidRPr="00245F2B">
        <w:rPr>
          <w:rFonts w:ascii="Times New Roman" w:hAnsi="Times New Roman" w:cs="Times New Roman"/>
          <w:b w:val="0"/>
          <w:iCs/>
          <w:sz w:val="24"/>
          <w:szCs w:val="24"/>
          <w:lang w:val="id-ID"/>
        </w:rPr>
        <w:t>, rizkimuhamad64875@gmail.com, nazarudin520@gmail.com, aryati.indah.kusumastuti@ugj.ac.id</w:t>
      </w:r>
    </w:p>
    <w:p w14:paraId="52369335" w14:textId="77777777" w:rsidR="004F3E56" w:rsidRPr="00A553EE" w:rsidRDefault="004F3E56" w:rsidP="00F85AAE">
      <w:pPr>
        <w:pStyle w:val="Heading1"/>
        <w:spacing w:before="0"/>
        <w:ind w:left="0" w:right="-46"/>
        <w:jc w:val="center"/>
        <w:rPr>
          <w:rFonts w:ascii="Times New Roman" w:hAnsi="Times New Roman" w:cs="Times New Roman"/>
          <w:b w:val="0"/>
          <w:iCs/>
          <w:sz w:val="24"/>
          <w:szCs w:val="24"/>
          <w:lang w:val="id-ID"/>
        </w:rPr>
      </w:pPr>
    </w:p>
    <w:tbl>
      <w:tblPr>
        <w:tblW w:w="9000" w:type="dxa"/>
        <w:tblLayout w:type="fixed"/>
        <w:tblCellMar>
          <w:left w:w="0" w:type="dxa"/>
          <w:right w:w="0" w:type="dxa"/>
        </w:tblCellMar>
        <w:tblLook w:val="01E0" w:firstRow="1" w:lastRow="1" w:firstColumn="1" w:lastColumn="1" w:noHBand="0" w:noVBand="0"/>
      </w:tblPr>
      <w:tblGrid>
        <w:gridCol w:w="9000"/>
      </w:tblGrid>
      <w:tr w:rsidR="002A3469" w:rsidRPr="0000008A" w14:paraId="7DC22EB1" w14:textId="0D0F2ADE" w:rsidTr="00245B02">
        <w:trPr>
          <w:trHeight w:val="1095"/>
        </w:trPr>
        <w:tc>
          <w:tcPr>
            <w:tcW w:w="9000" w:type="dxa"/>
            <w:tcBorders>
              <w:top w:val="single" w:sz="12" w:space="0" w:color="0E2138"/>
              <w:bottom w:val="single" w:sz="12" w:space="0" w:color="0E2138"/>
            </w:tcBorders>
          </w:tcPr>
          <w:p w14:paraId="7E61A9E8" w14:textId="18632FD4" w:rsidR="002A3469" w:rsidRPr="0000008A" w:rsidRDefault="002A3469" w:rsidP="00F85AAE">
            <w:pPr>
              <w:pStyle w:val="TableParagraph"/>
              <w:spacing w:line="240" w:lineRule="auto"/>
              <w:ind w:left="0"/>
              <w:rPr>
                <w:lang w:val="id-ID"/>
              </w:rPr>
            </w:pPr>
            <w:r w:rsidRPr="0000008A">
              <w:rPr>
                <w:b/>
              </w:rPr>
              <w:t>Abstract</w:t>
            </w:r>
          </w:p>
          <w:p w14:paraId="4E24CE70" w14:textId="12E5D8B4" w:rsidR="004E398A" w:rsidRPr="0000008A" w:rsidRDefault="00A848CC" w:rsidP="00A848CC">
            <w:pPr>
              <w:pBdr>
                <w:top w:val="nil"/>
                <w:left w:val="nil"/>
                <w:bottom w:val="nil"/>
                <w:right w:val="nil"/>
                <w:between w:val="nil"/>
              </w:pBdr>
              <w:spacing w:after="0" w:line="240" w:lineRule="auto"/>
              <w:jc w:val="both"/>
              <w:rPr>
                <w:rFonts w:ascii="Times New Roman" w:eastAsia="Palatino Linotype" w:hAnsi="Times New Roman" w:cs="Times New Roman"/>
              </w:rPr>
            </w:pPr>
            <w:r w:rsidRPr="0000008A">
              <w:rPr>
                <w:rFonts w:ascii="Times New Roman" w:eastAsia="Palatino Linotype" w:hAnsi="Times New Roman" w:cs="Times New Roman"/>
              </w:rPr>
              <w:t>Supply chain management in residential construction projects requires a performance measurement system that supports effective evaluation, control, and decision-making. This study aims to analyze the effect of supply chain performance measurement on the performance of the housing development supply chain. The research was designed using an explanatory quantitative approach with a structured, questionnaire-based survey method. Data were collected cross-sectionally from 50 respondents who are the main actors in the housing supply chain, including project managers, contractors, subcontractors, procurement staff, and material suppliers. Supply chain performance measurement is operationalized through the dimensions of cost efficiency, timeliness, quality, flexibility, collaboration, risk management, and sustainability. Data were analyzed using descriptive statistics and linear regression analysis with the help of SPSS. The results show that supply chain performance measurement has a positive and significant effect on the performance of the housing development supply chain (β = 0.791; p &lt; 0.001), with a coefficient of determination (R²) value of 0.651. These findings indicate that approximately 65.1% of the variations in housing supply chain performance can be explained by supply chain performance measurement. This research makes a theoretical contribution by positioning supply chain performance measurement as a strategic construct tested inferentially, rather than merely an evaluative tool. Practically, the results confirm the importance of implementing a structured supply chain performance measurement system to improve the operational performance of housing projects. All data presented are processed survey data, allowing replication and retesting in different research contexts</w:t>
            </w:r>
            <w:r w:rsidR="00FC1D4C" w:rsidRPr="0000008A">
              <w:rPr>
                <w:rFonts w:ascii="Times New Roman" w:eastAsia="Palatino Linotype" w:hAnsi="Times New Roman" w:cs="Times New Roman"/>
              </w:rPr>
              <w:t>.</w:t>
            </w:r>
          </w:p>
          <w:p w14:paraId="3C229906" w14:textId="77777777" w:rsidR="00FC1D4C" w:rsidRPr="0000008A" w:rsidRDefault="00FC1D4C" w:rsidP="00F85AAE">
            <w:pPr>
              <w:pBdr>
                <w:top w:val="nil"/>
                <w:left w:val="nil"/>
                <w:bottom w:val="nil"/>
                <w:right w:val="nil"/>
                <w:between w:val="nil"/>
              </w:pBdr>
              <w:spacing w:after="0" w:line="240" w:lineRule="auto"/>
              <w:jc w:val="both"/>
              <w:rPr>
                <w:rFonts w:ascii="Times New Roman" w:eastAsia="Palatino Linotype" w:hAnsi="Times New Roman" w:cs="Times New Roman"/>
              </w:rPr>
            </w:pPr>
          </w:p>
          <w:p w14:paraId="03C027C4" w14:textId="24E33C53" w:rsidR="002A3469" w:rsidRPr="0000008A" w:rsidRDefault="004E398A" w:rsidP="00B25773">
            <w:pPr>
              <w:pStyle w:val="TableParagraph"/>
              <w:spacing w:line="240" w:lineRule="auto"/>
              <w:ind w:left="0"/>
              <w:jc w:val="both"/>
              <w:rPr>
                <w:spacing w:val="1"/>
                <w:w w:val="95"/>
              </w:rPr>
            </w:pPr>
            <w:r w:rsidRPr="0000008A">
              <w:rPr>
                <w:rFonts w:eastAsia="Palatino Linotype"/>
                <w:b/>
                <w:bCs/>
              </w:rPr>
              <w:t>Keywords</w:t>
            </w:r>
            <w:r w:rsidRPr="0000008A">
              <w:rPr>
                <w:rFonts w:eastAsia="Palatino Linotype"/>
              </w:rPr>
              <w:t>: Supply Chain Performance Measurement; Supply Chain Performance; Residential Construction; Supply Chain Management; Quantitative Research.</w:t>
            </w:r>
          </w:p>
        </w:tc>
      </w:tr>
    </w:tbl>
    <w:p w14:paraId="763FD671" w14:textId="1E9A9B06" w:rsidR="008774B9" w:rsidRPr="004F3E56" w:rsidRDefault="008774B9" w:rsidP="00F85AAE">
      <w:pPr>
        <w:widowControl w:val="0"/>
        <w:autoSpaceDE w:val="0"/>
        <w:autoSpaceDN w:val="0"/>
        <w:adjustRightInd w:val="0"/>
        <w:spacing w:after="0" w:line="240" w:lineRule="auto"/>
        <w:rPr>
          <w:rFonts w:ascii="Times New Roman" w:eastAsia="MS Mincho" w:hAnsi="Times New Roman" w:cs="Times New Roman"/>
          <w:sz w:val="24"/>
          <w:szCs w:val="24"/>
          <w:lang w:val="en-US"/>
        </w:rPr>
      </w:pPr>
    </w:p>
    <w:p w14:paraId="4687F0B8" w14:textId="77777777" w:rsidR="00CB4C91" w:rsidRPr="004F3E56" w:rsidRDefault="00CB4C91" w:rsidP="00F85AAE">
      <w:pPr>
        <w:widowControl w:val="0"/>
        <w:autoSpaceDE w:val="0"/>
        <w:autoSpaceDN w:val="0"/>
        <w:adjustRightInd w:val="0"/>
        <w:spacing w:after="0" w:line="240" w:lineRule="auto"/>
        <w:ind w:left="480" w:hanging="480"/>
        <w:rPr>
          <w:rFonts w:ascii="Times New Roman" w:eastAsia="MS Mincho" w:hAnsi="Times New Roman" w:cs="Times New Roman"/>
          <w:sz w:val="24"/>
          <w:szCs w:val="24"/>
          <w:lang w:val="en-US"/>
        </w:rPr>
      </w:pPr>
    </w:p>
    <w:p w14:paraId="43A036DB" w14:textId="77777777" w:rsidR="00CB4C91" w:rsidRPr="00A553EE" w:rsidRDefault="00CB4C91" w:rsidP="00F85AAE">
      <w:pPr>
        <w:pBdr>
          <w:top w:val="nil"/>
          <w:left w:val="nil"/>
          <w:bottom w:val="nil"/>
          <w:right w:val="nil"/>
          <w:between w:val="nil"/>
        </w:pBdr>
        <w:spacing w:after="0" w:line="240" w:lineRule="auto"/>
        <w:jc w:val="both"/>
        <w:rPr>
          <w:rFonts w:ascii="Times New Roman" w:eastAsia="Palatino Linotype" w:hAnsi="Times New Roman" w:cs="Times New Roman"/>
          <w:b/>
          <w:color w:val="000000"/>
          <w:sz w:val="24"/>
          <w:szCs w:val="24"/>
        </w:rPr>
      </w:pPr>
      <w:r w:rsidRPr="00A553EE">
        <w:rPr>
          <w:rFonts w:ascii="Times New Roman" w:eastAsia="Palatino Linotype" w:hAnsi="Times New Roman" w:cs="Times New Roman"/>
          <w:b/>
          <w:color w:val="000000"/>
          <w:sz w:val="24"/>
          <w:szCs w:val="24"/>
        </w:rPr>
        <w:t>INTRODUCTION</w:t>
      </w:r>
    </w:p>
    <w:p w14:paraId="4A277A79" w14:textId="6672049E" w:rsidR="00A848CC" w:rsidRPr="00A848CC" w:rsidRDefault="00A848CC" w:rsidP="00A848CC">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848CC">
        <w:rPr>
          <w:rFonts w:ascii="Times New Roman" w:eastAsia="Palatino Linotype" w:hAnsi="Times New Roman" w:cs="Times New Roman"/>
          <w:color w:val="000000"/>
          <w:sz w:val="24"/>
          <w:szCs w:val="24"/>
        </w:rPr>
        <w:t>Supply Chain Management (SCM) is positioned as a strategic approach to maintain a balance between customer satisfaction and producer efficiency, which has direct implications for the cost efficiency and operational performance of an organization (Hayden et al., 2020). When supply chain performance is disrupted—for example, due to uncertainty regarding input availability or weak coordination between actors—organizational competitiveness and performance are also affected. Therefore, supply chain performance measurement is a managerial necessity for identifying performance gaps and formulating appropriate corrective measures (Aswat et al., 2023; Firdaus et al., 2023). The literature confirms that the supply chain is a system encompassing the flow of products, information, and finances; thus, supply chain performance represents the achievement of goals across supply chain members and can be analyzed through the effectiveness and efficiency of these flows (Aswat et al., 2023; Riantini et al., 2023).</w:t>
      </w:r>
    </w:p>
    <w:p w14:paraId="752960F9" w14:textId="157FE49C" w:rsidR="00A848CC" w:rsidRPr="00A848CC" w:rsidRDefault="00A848CC" w:rsidP="00A848CC">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848CC">
        <w:rPr>
          <w:rFonts w:ascii="Times New Roman" w:eastAsia="Palatino Linotype" w:hAnsi="Times New Roman" w:cs="Times New Roman"/>
          <w:color w:val="000000"/>
          <w:sz w:val="24"/>
          <w:szCs w:val="24"/>
        </w:rPr>
        <w:t xml:space="preserve">In project contexts that rely heavily on the accuracy of meeting input requirements and cross-party coordination, the management and measurement of supply chain performance become increasingly critical. Performance measurement not only serves as an evaluation tool </w:t>
      </w:r>
      <w:r w:rsidRPr="00A848CC">
        <w:rPr>
          <w:rFonts w:ascii="Times New Roman" w:eastAsia="Palatino Linotype" w:hAnsi="Times New Roman" w:cs="Times New Roman"/>
          <w:color w:val="000000"/>
          <w:sz w:val="24"/>
          <w:szCs w:val="24"/>
        </w:rPr>
        <w:lastRenderedPageBreak/>
        <w:t>but also as a foundation for control and decision-making at strategic, tactical, and operational levels (Hayuningtyas et al., 2020; Mayangsari &amp; Fauzi, 2023). Through a structured performance measurement system, organizations can enhance process efficiency, optimize workflows, and systematically identify opportunities for continuous improvement (Mañay et al., 2022; Mayangsari &amp; Fauzi, 2023).</w:t>
      </w:r>
    </w:p>
    <w:p w14:paraId="1D0B7C2F" w14:textId="2DC5BA11" w:rsidR="00A848CC" w:rsidRPr="00A848CC" w:rsidRDefault="00A848CC" w:rsidP="00A848CC">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848CC">
        <w:rPr>
          <w:rFonts w:ascii="Times New Roman" w:eastAsia="Palatino Linotype" w:hAnsi="Times New Roman" w:cs="Times New Roman"/>
          <w:color w:val="000000"/>
          <w:sz w:val="24"/>
          <w:szCs w:val="24"/>
        </w:rPr>
        <w:t>Supply chain performance measurement is regarded as a fundamental aspect because it supports continuous improvement and allows for holistic performance evaluation (Harya et al., 2020). However, its implementation faces practical challenges, particularly related to the complexity of supply chain systems and the numerous relevant performance dimensions, making the selection of appropriate performance measures far from simple (Harya et al., 2020; Sitorus et al., 2020). Various measurement frameworks have been developed, including the Supply Chain Operations Reference (SCOR), which provides end-to-end process descriptions and a set of standardized metrics to measure performance (Celina et al., 2022; Sitorus et al., 2020). In addition, Balanced Scorecards (BSCs) and Key Performance Indicators (KPIs) are widely used to complement process-based measurement with multidimensional perspectives and target-oriented evaluation (Mursidah &amp; Fauzi, 2022; Shidiq et al., 2024).</w:t>
      </w:r>
    </w:p>
    <w:p w14:paraId="2B79FBC0" w14:textId="4AE77D7B" w:rsidR="00A848CC" w:rsidRPr="00A848CC" w:rsidRDefault="00A848CC" w:rsidP="00A848CC">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848CC">
        <w:rPr>
          <w:rFonts w:ascii="Times New Roman" w:eastAsia="Palatino Linotype" w:hAnsi="Times New Roman" w:cs="Times New Roman"/>
          <w:color w:val="000000"/>
          <w:sz w:val="24"/>
          <w:szCs w:val="24"/>
        </w:rPr>
        <w:t>This gap is particularly evident in the residential construction context, where empirical investigations into the strategic impact of performance measurement remain limited. The urgency of this research, therefore, lies in its potential to provide empirical evidence that can guide project stakeholders to move beyond perceiving performance measurement as merely an administrative requirement. By establishing a statistically significant relationship between measurement practices and improved supply chain outcomes, this study offers a compelling rationale for developers and contractors to systematically invest in and integrate these systems into their core project management processes. Such efforts are crucial for improving efficiency, reducing waste, and ensuring the timely and high-quality delivery of housing projects.</w:t>
      </w:r>
    </w:p>
    <w:p w14:paraId="1B1CBD9C" w14:textId="2C301021" w:rsidR="00A848CC" w:rsidRPr="00A848CC" w:rsidRDefault="00A848CC" w:rsidP="00A848CC">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848CC">
        <w:rPr>
          <w:rFonts w:ascii="Times New Roman" w:eastAsia="Palatino Linotype" w:hAnsi="Times New Roman" w:cs="Times New Roman"/>
          <w:color w:val="000000"/>
          <w:sz w:val="24"/>
          <w:szCs w:val="24"/>
        </w:rPr>
        <w:t>The novelty of this research is twofold. First, it reframes supply chain performance measurement from being a predominantly evaluative tool to a strategic construct whose influence can be empirically tested. Second, it applies this conceptualization within the underexplored context of residential construction, providing specific and actionable insights for practitioners in this sector. This study, therefore, seeks to address the identified gap by analyzing the effect of supply chain performance measurement on housing development supply chain performance using an inferential quantitative approach.</w:t>
      </w:r>
    </w:p>
    <w:p w14:paraId="729FECE1" w14:textId="591C4280" w:rsidR="00CB4C91" w:rsidRPr="00A553EE" w:rsidRDefault="00A848CC" w:rsidP="00A848CC">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848CC">
        <w:rPr>
          <w:rFonts w:ascii="Times New Roman" w:eastAsia="Palatino Linotype" w:hAnsi="Times New Roman" w:cs="Times New Roman"/>
          <w:color w:val="000000"/>
          <w:sz w:val="24"/>
          <w:szCs w:val="24"/>
        </w:rPr>
        <w:t>Nonetheless, the literature suggests that supply chain performance measurement has generally been positioned as an evaluative and diagnostic tool, rather than as a strategic construct empirically tested for its inferential influence on supply chain performance. These limitations are even more visible in residential construction, which is often characterized by vulnerability to delays, cost sensitivity, and issues of building quality and defects. Therefore, this study aims to analyze the effect of supply chain performance measurement on housing development supply chain performance using an inferential quantitative approach, thereby filling existing empirical gaps and providing both theoretical and practical implications for housing project management</w:t>
      </w:r>
      <w:r w:rsidR="00A826FF" w:rsidRPr="00A553EE">
        <w:rPr>
          <w:rFonts w:ascii="Times New Roman" w:eastAsia="Palatino Linotype" w:hAnsi="Times New Roman" w:cs="Times New Roman"/>
          <w:color w:val="000000"/>
          <w:sz w:val="24"/>
          <w:szCs w:val="24"/>
        </w:rPr>
        <w:t>.</w:t>
      </w:r>
    </w:p>
    <w:p w14:paraId="794DABED" w14:textId="77777777" w:rsidR="00A826FF" w:rsidRPr="00A553EE" w:rsidRDefault="00A826FF"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sz w:val="24"/>
          <w:szCs w:val="24"/>
        </w:rPr>
      </w:pPr>
    </w:p>
    <w:p w14:paraId="7C4F56DD" w14:textId="5687D326" w:rsidR="00CB4C91" w:rsidRPr="00A553EE" w:rsidRDefault="00CB4C91" w:rsidP="00F85AAE">
      <w:pPr>
        <w:pBdr>
          <w:top w:val="nil"/>
          <w:left w:val="nil"/>
          <w:bottom w:val="nil"/>
          <w:right w:val="nil"/>
          <w:between w:val="nil"/>
        </w:pBdr>
        <w:spacing w:after="0" w:line="240" w:lineRule="auto"/>
        <w:jc w:val="both"/>
        <w:rPr>
          <w:rFonts w:ascii="Times New Roman" w:eastAsia="Palatino Linotype" w:hAnsi="Times New Roman" w:cs="Times New Roman"/>
          <w:b/>
          <w:color w:val="000000"/>
          <w:sz w:val="24"/>
          <w:szCs w:val="24"/>
        </w:rPr>
      </w:pPr>
      <w:r w:rsidRPr="00A553EE">
        <w:rPr>
          <w:rFonts w:ascii="Times New Roman" w:eastAsia="Palatino Linotype" w:hAnsi="Times New Roman" w:cs="Times New Roman"/>
          <w:b/>
          <w:color w:val="000000"/>
          <w:sz w:val="24"/>
          <w:szCs w:val="24"/>
        </w:rPr>
        <w:t>RESEARCH METHOD</w:t>
      </w:r>
    </w:p>
    <w:p w14:paraId="2BE8E477" w14:textId="74255055" w:rsidR="00CB4C91" w:rsidRPr="00A553EE" w:rsidRDefault="00CB4C91" w:rsidP="00F85AAE">
      <w:pPr>
        <w:pBdr>
          <w:top w:val="nil"/>
          <w:left w:val="nil"/>
          <w:bottom w:val="nil"/>
          <w:right w:val="nil"/>
          <w:between w:val="nil"/>
        </w:pBdr>
        <w:spacing w:after="0" w:line="240" w:lineRule="auto"/>
        <w:jc w:val="both"/>
        <w:rPr>
          <w:rFonts w:ascii="Times New Roman" w:eastAsia="Palatino Linotype" w:hAnsi="Times New Roman" w:cs="Times New Roman"/>
          <w:b/>
          <w:bCs/>
          <w:color w:val="000000"/>
          <w:sz w:val="24"/>
          <w:szCs w:val="24"/>
        </w:rPr>
      </w:pPr>
      <w:r w:rsidRPr="00A553EE">
        <w:rPr>
          <w:rFonts w:ascii="Times New Roman" w:eastAsia="Palatino Linotype" w:hAnsi="Times New Roman" w:cs="Times New Roman"/>
          <w:b/>
          <w:bCs/>
          <w:color w:val="000000"/>
          <w:sz w:val="24"/>
          <w:szCs w:val="24"/>
        </w:rPr>
        <w:t>Research Design and Approach</w:t>
      </w:r>
    </w:p>
    <w:p w14:paraId="5D978EAB" w14:textId="08D84BD0" w:rsidR="00FC1D4C" w:rsidRPr="00A553EE" w:rsidRDefault="00FC1D4C"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 xml:space="preserve">This study is designed as a quantitative research with an explanatory approach to test the relationship between variables through hypothesis testing and inferential statistical analysis. The explanatory approach is commonly used in quantitative survey research that aims to explore the relationships between constructs statistically, including relationships that are assumed to be causal according to the direction of the hypothesis formulated theoretically </w:t>
      </w:r>
      <w:r w:rsidR="001075F8" w:rsidRPr="00A553EE">
        <w:rPr>
          <w:rFonts w:ascii="Times New Roman" w:eastAsia="Palatino Linotype" w:hAnsi="Times New Roman" w:cs="Times New Roman"/>
          <w:color w:val="000000"/>
          <w:sz w:val="24"/>
          <w:szCs w:val="24"/>
        </w:rPr>
        <w:fldChar w:fldCharType="begin" w:fldLock="1"/>
      </w:r>
      <w:r w:rsidR="001075F8" w:rsidRPr="00A553EE">
        <w:rPr>
          <w:rFonts w:ascii="Times New Roman" w:eastAsia="Palatino Linotype" w:hAnsi="Times New Roman" w:cs="Times New Roman"/>
          <w:color w:val="000000"/>
          <w:sz w:val="24"/>
          <w:szCs w:val="24"/>
        </w:rPr>
        <w:instrText>ADDIN CSL_CITATION {"citationItems":[{"id":"ITEM-1","itemData":{"DOI":"10.1177/03063070221080008","author":[{"dropping-particle":"","family":"Kamani","given":"Elham","non-dropping-particle":"","parse-names":false,"suffix":""},{"dropping-particle":"","family":"Kalisz","given":"David","non-dropping-particle":"","parse-names":false,"suffix":""},{"dropping-particle":"","family":"Szyran-Resiak","given":"Agata","non-dropping-particle":"","parse-names":false,"suffix":""}],"container-title":"Journal of General Management","id":"ITEM-1","issue":"4","issued":{"date-parts":[["2023"]]},"page":"370-385","title":"Patients’ Behavioral Intentions Toward Robotic Adoption in Healthcare: An Approach on Apprehension of Embedding Robotics","type":"article-journal","volume":"48"},"uris":["http://www.mendeley.com/documents/?uuid=c36daa95-7e71-4c04-a784-7bebd31d5802"]},{"id":"ITEM-2","itemData":{"DOI":"10.1108/srj-09-2023-0517","author":[{"dropping-particle":"","family":"Konalingam","given":"Kajenthiran","non-dropping-particle":"","parse-names":false,"suffix":""},{"dropping-particle":"","family":"Thivaakaran","given":"Tharmartnam","non-dropping-particle":"","parse-names":false,"suffix":""},{"dropping-particle":"","family":"Kengatharan","given":"Navaneethakrishnan","non-dropping-particle":"","parse-names":false,"suffix":""},{"dropping-particle":"","family":"Achchuthan","given":"Sivapalan","non-dropping-particle":"","parse-names":false,"suffix":""},{"dropping-particle":"","family":"Hensman","given":"Grace H","non-dropping-particle":"","parse-names":false,"suffix":""},{"dropping-particle":"","family":"Harishangar","given":"Archchutha","non-dropping-particle":"","parse-names":false,"suffix":""}],"container-title":"Social Responsibility Journal","id":"ITEM-2","issue":"9","issued":{"date-parts":[["2024"]]},"page":"1697-1723","title":"Exploring the Drivers of Pro-Environmental Behavioral Intentions in an Emerging Nation","type":"article-journal","volume":"20"},"uris":["http://www.mendeley.com/documents/?uuid=c1083c11-4082-4ccd-9975-087a4f071928"]},{"id":"ITEM-3","itemData":{"DOI":"10.1177/21582440241276182","author":[{"dropping-particle":"","family":"Amani","given":"David","non-dropping-particle":"","parse-names":false,"suffix":""},{"dropping-particle":"","family":"Mfumbilwa","given":"Esther E","non-dropping-particle":"","parse-names":false,"suffix":""}],"container-title":"Sage Open","id":"ITEM-3","issue":"3","issued":{"date-parts":[["2024"]]},"title":"Destination Promotion Videos and Tourism Knowledge: A Road Toward Residents’ Empowerment in Emerging Tourism Destinations","type":"article-journal","volume":"14"},"uris":["http://www.mendeley.com/documents/?uuid=66f4b815-9084-4cdc-954e-d3499537d315"]}],"mendeley":{"formattedCitation":"(Amani &amp; Mfumbilwa, 2024; Kamani et al., 2023; Konalingam et al., 2024)","plainTextFormattedCitation":"(Amani &amp; Mfumbilwa, 2024; Kamani et al., 2023; Konalingam et al., 2024)","previouslyFormattedCitation":"(Amani &amp; Mfumbilwa, 2024; Kamani et al., 2023; Konalingam et al., 2024)"},"properties":{"noteIndex":0},"schema":"https://github.com/citation-style-language/schema/raw/master/csl-citation.json"}</w:instrText>
      </w:r>
      <w:r w:rsidR="001075F8" w:rsidRPr="00A553EE">
        <w:rPr>
          <w:rFonts w:ascii="Times New Roman" w:eastAsia="Palatino Linotype" w:hAnsi="Times New Roman" w:cs="Times New Roman"/>
          <w:color w:val="000000"/>
          <w:sz w:val="24"/>
          <w:szCs w:val="24"/>
        </w:rPr>
        <w:fldChar w:fldCharType="separate"/>
      </w:r>
      <w:r w:rsidR="001075F8" w:rsidRPr="00A553EE">
        <w:rPr>
          <w:rFonts w:ascii="Times New Roman" w:eastAsia="Palatino Linotype" w:hAnsi="Times New Roman" w:cs="Times New Roman"/>
          <w:noProof/>
          <w:color w:val="000000"/>
          <w:sz w:val="24"/>
          <w:szCs w:val="24"/>
        </w:rPr>
        <w:t>(Amani &amp; Mfumbilwa, 2024; Kamani et al., 2023; Konalingam et al., 2024)</w:t>
      </w:r>
      <w:r w:rsidR="001075F8"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w:t>
      </w:r>
    </w:p>
    <w:p w14:paraId="02BF01F8" w14:textId="6CBD95B3" w:rsidR="00FC1D4C" w:rsidRPr="00A553EE" w:rsidRDefault="00FC1D4C"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lastRenderedPageBreak/>
        <w:t xml:space="preserve">The data collection strategy used is a survey method with a structured questionnaire to obtain respondents' perception data related to the construct being studied. The survey method was chosen because it is effective in collecting quantitative data from respondents who have direct experience of the phenomenon being studied, and is commonly combined with descriptive and inferential statistical analysis in quantitative observational research designs </w:t>
      </w:r>
      <w:r w:rsidR="001075F8" w:rsidRPr="00A553EE">
        <w:rPr>
          <w:rFonts w:ascii="Times New Roman" w:eastAsia="Palatino Linotype" w:hAnsi="Times New Roman" w:cs="Times New Roman"/>
          <w:color w:val="000000"/>
          <w:sz w:val="24"/>
          <w:szCs w:val="24"/>
        </w:rPr>
        <w:fldChar w:fldCharType="begin" w:fldLock="1"/>
      </w:r>
      <w:r w:rsidR="001075F8" w:rsidRPr="00A553EE">
        <w:rPr>
          <w:rFonts w:ascii="Times New Roman" w:eastAsia="Palatino Linotype" w:hAnsi="Times New Roman" w:cs="Times New Roman"/>
          <w:color w:val="000000"/>
          <w:sz w:val="24"/>
          <w:szCs w:val="24"/>
        </w:rPr>
        <w:instrText>ADDIN CSL_CITATION {"citationItems":[{"id":"ITEM-1","itemData":{"DOI":"10.3390/ijerph191811310","author":[{"dropping-particle":"","family":"Döring","given":"Nicola","non-dropping-particle":"","parse-names":false,"suffix":""},{"dropping-particle":"","family":"Conde","given":"Melisa","non-dropping-particle":"","parse-names":false,"suffix":""},{"dropping-particle":"","family":"Brandenburg","given":"Karlheinz","non-dropping-particle":"","parse-names":false,"suffix":""},{"dropping-particle":"","family":"Broll","given":"Wolfgang","non-dropping-particle":"","parse-names":false,"suffix":""},{"dropping-particle":"","family":"Groß","given":"Horst–Michael","non-dropping-particle":"","parse-names":false,"suffix":""},{"dropping-particle":"","family":"Werner","given":"Stephan","non-dropping-particle":"","parse-names":false,"suffix":""},{"dropping-particle":"","family":"Raake","given":"Alexander","non-dropping-particle":"","parse-names":false,"suffix":""}],"container-title":"International Journal of Environmental Research and Public Health","id":"ITEM-1","issue":"18","issued":{"date-parts":[["2022"]]},"page":"11310","title":"Can Communication Technologies Reduce Loneliness and Social Isolation in Older People? A Scoping Review of Reviews","type":"article-journal","volume":"19"},"uris":["http://www.mendeley.com/documents/?uuid=692b2776-c649-4513-a4d1-03f46e134c08"]},{"id":"ITEM-2","itemData":{"DOI":"10.1177/21582440241276182","author":[{"dropping-particle":"","family":"Amani","given":"David","non-dropping-particle":"","parse-names":false,"suffix":""},{"dropping-particle":"","family":"Mfumbilwa","given":"Esther E","non-dropping-particle":"","parse-names":false,"suffix":""}],"container-title":"Sage Open","id":"ITEM-2","issue":"3","issued":{"date-parts":[["2024"]]},"title":"Destination Promotion Videos and Tourism Knowledge: A Road Toward Residents’ Empowerment in Emerging Tourism Destinations","type":"article-journal","volume":"14"},"uris":["http://www.mendeley.com/documents/?uuid=66f4b815-9084-4cdc-954e-d3499537d315"]}],"mendeley":{"formattedCitation":"(Amani &amp; Mfumbilwa, 2024; Döring et al., 2022)","plainTextFormattedCitation":"(Amani &amp; Mfumbilwa, 2024; Döring et al., 2022)","previouslyFormattedCitation":"(Amani &amp; Mfumbilwa, 2024; Döring et al., 2022)"},"properties":{"noteIndex":0},"schema":"https://github.com/citation-style-language/schema/raw/master/csl-citation.json"}</w:instrText>
      </w:r>
      <w:r w:rsidR="001075F8" w:rsidRPr="00A553EE">
        <w:rPr>
          <w:rFonts w:ascii="Times New Roman" w:eastAsia="Palatino Linotype" w:hAnsi="Times New Roman" w:cs="Times New Roman"/>
          <w:color w:val="000000"/>
          <w:sz w:val="24"/>
          <w:szCs w:val="24"/>
        </w:rPr>
        <w:fldChar w:fldCharType="separate"/>
      </w:r>
      <w:r w:rsidR="001075F8" w:rsidRPr="00A553EE">
        <w:rPr>
          <w:rFonts w:ascii="Times New Roman" w:eastAsia="Palatino Linotype" w:hAnsi="Times New Roman" w:cs="Times New Roman"/>
          <w:noProof/>
          <w:color w:val="000000"/>
          <w:sz w:val="24"/>
          <w:szCs w:val="24"/>
        </w:rPr>
        <w:t>(Amani &amp; Mfumbilwa, 2024; Döring et al., 2022)</w:t>
      </w:r>
      <w:r w:rsidR="001075F8"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w:t>
      </w:r>
    </w:p>
    <w:p w14:paraId="20918266" w14:textId="08EEA0BD" w:rsidR="00CB4C91" w:rsidRPr="00A553EE" w:rsidRDefault="00FC1D4C"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 xml:space="preserve">This research is cross-sectional, i.e. data is collected over a specific period of time (one-shot survey). The cross-sectional design is suitable for survey-based hypothesis testing and analysis of intervariable relationships in a single measurement </w:t>
      </w:r>
      <w:r w:rsidR="001075F8" w:rsidRPr="00A553EE">
        <w:rPr>
          <w:rFonts w:ascii="Times New Roman" w:eastAsia="Palatino Linotype" w:hAnsi="Times New Roman" w:cs="Times New Roman"/>
          <w:color w:val="000000"/>
          <w:sz w:val="24"/>
          <w:szCs w:val="24"/>
        </w:rPr>
        <w:fldChar w:fldCharType="begin" w:fldLock="1"/>
      </w:r>
      <w:r w:rsidR="001075F8" w:rsidRPr="00A553EE">
        <w:rPr>
          <w:rFonts w:ascii="Times New Roman" w:eastAsia="Palatino Linotype" w:hAnsi="Times New Roman" w:cs="Times New Roman"/>
          <w:color w:val="000000"/>
          <w:sz w:val="24"/>
          <w:szCs w:val="24"/>
        </w:rPr>
        <w:instrText>ADDIN CSL_CITATION {"citationItems":[{"id":"ITEM-1","itemData":{"DOI":"10.1177/03063070221080008","author":[{"dropping-particle":"","family":"Kamani","given":"Elham","non-dropping-particle":"","parse-names":false,"suffix":""},{"dropping-particle":"","family":"Kalisz","given":"David","non-dropping-particle":"","parse-names":false,"suffix":""},{"dropping-particle":"","family":"Szyran-Resiak","given":"Agata","non-dropping-particle":"","parse-names":false,"suffix":""}],"container-title":"Journal of General Management","id":"ITEM-1","issue":"4","issued":{"date-parts":[["2023"]]},"page":"370-385","title":"Patients’ Behavioral Intentions Toward Robotic Adoption in Healthcare: An Approach on Apprehension of Embedding Robotics","type":"article-journal","volume":"48"},"uris":["http://www.mendeley.com/documents/?uuid=c36daa95-7e71-4c04-a784-7bebd31d5802"]},{"id":"ITEM-2","itemData":{"DOI":"10.1177/21582440241276182","author":[{"dropping-particle":"","family":"Amani","given":"David","non-dropping-particle":"","parse-names":false,"suffix":""},{"dropping-particle":"","family":"Mfumbilwa","given":"Esther E","non-dropping-particle":"","parse-names":false,"suffix":""}],"container-title":"Sage Open","id":"ITEM-2","issue":"3","issued":{"date-parts":[["2024"]]},"title":"Destination Promotion Videos and Tourism Knowledge: A Road Toward Residents’ Empowerment in Emerging Tourism Destinations","type":"article-journal","volume":"14"},"uris":["http://www.mendeley.com/documents/?uuid=66f4b815-9084-4cdc-954e-d3499537d315"]}],"mendeley":{"formattedCitation":"(Amani &amp; Mfumbilwa, 2024; Kamani et al., 2023)","plainTextFormattedCitation":"(Amani &amp; Mfumbilwa, 2024; Kamani et al., 2023)","previouslyFormattedCitation":"(Amani &amp; Mfumbilwa, 2024; Kamani et al., 2023)"},"properties":{"noteIndex":0},"schema":"https://github.com/citation-style-language/schema/raw/master/csl-citation.json"}</w:instrText>
      </w:r>
      <w:r w:rsidR="001075F8" w:rsidRPr="00A553EE">
        <w:rPr>
          <w:rFonts w:ascii="Times New Roman" w:eastAsia="Palatino Linotype" w:hAnsi="Times New Roman" w:cs="Times New Roman"/>
          <w:color w:val="000000"/>
          <w:sz w:val="24"/>
          <w:szCs w:val="24"/>
        </w:rPr>
        <w:fldChar w:fldCharType="separate"/>
      </w:r>
      <w:r w:rsidR="001075F8" w:rsidRPr="00A553EE">
        <w:rPr>
          <w:rFonts w:ascii="Times New Roman" w:eastAsia="Palatino Linotype" w:hAnsi="Times New Roman" w:cs="Times New Roman"/>
          <w:noProof/>
          <w:color w:val="000000"/>
          <w:sz w:val="24"/>
          <w:szCs w:val="24"/>
        </w:rPr>
        <w:t>(Amani &amp; Mfumbilwa, 2024; Kamani et al., 2023)</w:t>
      </w:r>
      <w:r w:rsidR="001075F8"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 xml:space="preserve">. Nevertheless, it should be noted that cross-sectional design has limitations in generating strong causal inference because it does not observe changes between times and opens up the possibility of inverse causality or two-way relationships. Therefore, the interpretation of causal results in this study is carried out carefully as theoretical causality in the direction of the hypothesis, rather than a definitive experimental or longitudinal causality </w:t>
      </w:r>
      <w:r w:rsidR="001075F8" w:rsidRPr="00A553EE">
        <w:rPr>
          <w:rFonts w:ascii="Times New Roman" w:eastAsia="Palatino Linotype" w:hAnsi="Times New Roman" w:cs="Times New Roman"/>
          <w:color w:val="000000"/>
          <w:sz w:val="24"/>
          <w:szCs w:val="24"/>
        </w:rPr>
        <w:fldChar w:fldCharType="begin" w:fldLock="1"/>
      </w:r>
      <w:r w:rsidR="00035516" w:rsidRPr="00A553EE">
        <w:rPr>
          <w:rFonts w:ascii="Times New Roman" w:eastAsia="Palatino Linotype" w:hAnsi="Times New Roman" w:cs="Times New Roman"/>
          <w:color w:val="000000"/>
          <w:sz w:val="24"/>
          <w:szCs w:val="24"/>
        </w:rPr>
        <w:instrText>ADDIN CSL_CITATION {"citationItems":[{"id":"ITEM-1","itemData":{"DOI":"10.3389/fragi.2024.1284694","author":[{"dropping-particle":"","family":"Choudhury","given":"Renoa","non-dropping-particle":"","parse-names":false,"suffix":""},{"dropping-particle":"","family":"Park","given":"Joon‐Hyuk","non-dropping-particle":"","parse-names":false,"suffix":""},{"dropping-particle":"","family":"Banarjee","given":"Chitra","non-dropping-particle":"","parse-names":false,"suffix":""},{"dropping-particle":"","family":"Coca","given":"Miguel G","non-dropping-particle":"","parse-names":false,"suffix":""},{"dropping-particle":"","family":"Fukuda","given":"David H","non-dropping-particle":"","parse-names":false,"suffix":""},{"dropping-particle":"","family":"Xie","given":"Rui","non-dropping-particle":"","parse-names":false,"suffix":""},{"dropping-particle":"","family":"Stout","given":"Jeffrey R","non-dropping-particle":"","parse-names":false,"suffix":""},{"dropping-particle":"","family":"Thiamwong","given":"Ladda","non-dropping-particle":"","parse-names":false,"suffix":""}],"container-title":"Frontiers in Aging","id":"ITEM-1","issued":{"date-parts":[["2024"]]},"title":"Associations Between Monitor-Independent Movement Summary (MIMS) and Fall Risk Appraisal Combining Fear of Falling and Physiological Fall Risk in Community-Dwelling Older Adults","type":"article-journal","volume":"5"},"uris":["http://www.mendeley.com/documents/?uuid=0dc93f4f-9582-4756-9f3e-f216f49c941c"]},{"id":"ITEM-2","itemData":{"DOI":"10.1002/hpm.2988","author":[{"dropping-particle":"V","family":"Seixas","given":"Brayan","non-dropping-particle":"","parse-names":false,"suffix":""},{"dropping-particle":"","family":"Macinko","given":"James","non-dropping-particle":"","parse-names":false,"suffix":""}],"container-title":"The International Journal of Health Planning and Management","id":"ITEM-2","issue":"5","issued":{"date-parts":[["2020"]]},"page":"1083-1097","title":"Unavailability of Paid Sick Leave Among Parents Is a Barrier for Children's Utilization Of&lt;scp&gt;nonemergency&lt;/Scp&gt;health Services: Evidence From the National Health Interview Survey","type":"article-journal","volume":"35"},"uris":["http://www.mendeley.com/documents/?uuid=7a6b99f7-455e-4555-9a56-a816de3f39fd"]},{"id":"ITEM-3","itemData":{"DOI":"10.3389/fpubh.2024.1433718","author":[{"dropping-particle":"","family":"Wang","given":"Lingyan","non-dropping-particle":"","parse-names":false,"suffix":""},{"dropping-particle":"","family":"Wang","given":"Qianping","non-dropping-particle":"","parse-names":false,"suffix":""},{"dropping-particle":"","family":"Zhou","given":"Xia","non-dropping-particle":"","parse-names":false,"suffix":""},{"dropping-particle":"","family":"Liu","given":"Huan","non-dropping-particle":"","parse-names":false,"suffix":""}],"container-title":"Frontiers in Public Health","id":"ITEM-3","issued":{"date-parts":[["2024"]]},"title":"Women’s Knowledge, Attitude, and Practice Regarding Cervical Precancerous Lesions: A Cross-Sectional Study in Beijing, China","type":"article-journal","volume":"12"},"uris":["http://www.mendeley.com/documents/?uuid=f049ebe8-9b62-4f0f-b894-8a0236b3ce53"]}],"mendeley":{"formattedCitation":"(Choudhury et al., 2024; Seixas &amp; Macinko, 2020; Lingyan Wang et al., 2024)","plainTextFormattedCitation":"(Choudhury et al., 2024; Seixas &amp; Macinko, 2020; Lingyan Wang et al., 2024)","previouslyFormattedCitation":"(Choudhury et al., 2024; Seixas &amp; Macinko, 2020; Lingyan Wang et al., 2024)"},"properties":{"noteIndex":0},"schema":"https://github.com/citation-style-language/schema/raw/master/csl-citation.json"}</w:instrText>
      </w:r>
      <w:r w:rsidR="001075F8" w:rsidRPr="00A553EE">
        <w:rPr>
          <w:rFonts w:ascii="Times New Roman" w:eastAsia="Palatino Linotype" w:hAnsi="Times New Roman" w:cs="Times New Roman"/>
          <w:color w:val="000000"/>
          <w:sz w:val="24"/>
          <w:szCs w:val="24"/>
        </w:rPr>
        <w:fldChar w:fldCharType="separate"/>
      </w:r>
      <w:r w:rsidR="00035516" w:rsidRPr="00A553EE">
        <w:rPr>
          <w:rFonts w:ascii="Times New Roman" w:eastAsia="Palatino Linotype" w:hAnsi="Times New Roman" w:cs="Times New Roman"/>
          <w:noProof/>
          <w:color w:val="000000"/>
          <w:sz w:val="24"/>
          <w:szCs w:val="24"/>
        </w:rPr>
        <w:t>(Choudhury et al., 2024; Seixas &amp; Macinko, 2020; Lingyan Wang et al., 2024)</w:t>
      </w:r>
      <w:r w:rsidR="001075F8"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w:t>
      </w:r>
    </w:p>
    <w:p w14:paraId="09443C61" w14:textId="77777777" w:rsidR="00CB4C91" w:rsidRPr="00A553EE" w:rsidRDefault="00CB4C91"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p>
    <w:p w14:paraId="19CD06FE" w14:textId="33BC45D4" w:rsidR="00CB4C91" w:rsidRPr="00A553EE" w:rsidRDefault="00CB4C91" w:rsidP="00F85AAE">
      <w:pPr>
        <w:pBdr>
          <w:top w:val="nil"/>
          <w:left w:val="nil"/>
          <w:bottom w:val="nil"/>
          <w:right w:val="nil"/>
          <w:between w:val="nil"/>
        </w:pBdr>
        <w:spacing w:after="0" w:line="240" w:lineRule="auto"/>
        <w:jc w:val="both"/>
        <w:rPr>
          <w:rFonts w:ascii="Times New Roman" w:eastAsia="Palatino Linotype" w:hAnsi="Times New Roman" w:cs="Times New Roman"/>
          <w:b/>
          <w:bCs/>
          <w:color w:val="000000"/>
          <w:sz w:val="24"/>
          <w:szCs w:val="24"/>
        </w:rPr>
      </w:pPr>
      <w:r w:rsidRPr="00A553EE">
        <w:rPr>
          <w:rFonts w:ascii="Times New Roman" w:eastAsia="Palatino Linotype" w:hAnsi="Times New Roman" w:cs="Times New Roman"/>
          <w:b/>
          <w:bCs/>
          <w:color w:val="000000"/>
          <w:sz w:val="24"/>
          <w:szCs w:val="24"/>
        </w:rPr>
        <w:t>Population and Research Sample</w:t>
      </w:r>
    </w:p>
    <w:p w14:paraId="16FF34ED" w14:textId="4A8B4CB4" w:rsidR="00DE16B9" w:rsidRPr="00A553EE" w:rsidRDefault="00DE16B9"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 xml:space="preserve">The research population includes the main actors in the housing development supply chain in Cirebon Regency, namely parties directly involved in the flow of products, information, and money in housing projects. This population selection is relevant because supply chain performance is determined by the performance of cross-members involved in the supply chain's end-to-end process </w:t>
      </w:r>
      <w:r w:rsidR="001075F8" w:rsidRPr="00A553EE">
        <w:rPr>
          <w:rFonts w:ascii="Times New Roman" w:eastAsia="Palatino Linotype" w:hAnsi="Times New Roman" w:cs="Times New Roman"/>
          <w:color w:val="000000"/>
          <w:sz w:val="24"/>
          <w:szCs w:val="24"/>
        </w:rPr>
        <w:fldChar w:fldCharType="begin" w:fldLock="1"/>
      </w:r>
      <w:r w:rsidR="001075F8" w:rsidRPr="00A553EE">
        <w:rPr>
          <w:rFonts w:ascii="Times New Roman" w:eastAsia="Palatino Linotype" w:hAnsi="Times New Roman" w:cs="Times New Roman"/>
          <w:color w:val="000000"/>
          <w:sz w:val="24"/>
          <w:szCs w:val="24"/>
        </w:rPr>
        <w:instrText>ADDIN CSL_CITATION {"citationItems":[{"id":"ITEM-1","itemData":{"DOI":"10.25181/jppt.v23i4.2976","author":[{"dropping-particle":"","family":"Aswat","given":"Jumaratul","non-dropping-particle":"","parse-names":false,"suffix":""},{"dropping-particle":"","family":"Maswadi","given":"Maswadi","non-dropping-particle":"","parse-names":false,"suffix":""},{"dropping-particle":"","family":"Kusrini","given":"Novira","non-dropping-particle":"","parse-names":false,"suffix":""}],"container-title":"Jurnal Penelitian Pertanian Terapan","id":"ITEM-1","issue":"4","issued":{"date-parts":[["2023"]]},"page":"538-546","title":"Efficiency of Robusta Coffee Supply Chain Performance in Kubu Raya Regency, West Kalimantan Province","type":"article-journal","volume":"23"},"uris":["http://www.mendeley.com/documents/?uuid=8c5d8786-c5c6-424d-bf2a-4dd8b4a5826e"]},{"id":"ITEM-2","itemData":{"DOI":"10.25181/jppt.v23i4.2930","author":[{"dropping-particle":"","family":"Riantini","given":"Maya","non-dropping-particle":"","parse-names":false,"suffix":""},{"dropping-particle":"","family":"Affandi","given":"Muhammad I","non-dropping-particle":"","parse-names":false,"suffix":""},{"dropping-particle":"","family":"Nur’aini","given":"Lestari G","non-dropping-particle":"","parse-names":false,"suffix":""},{"dropping-particle":"","family":"Kusnandi","given":"Savira A","non-dropping-particle":"","parse-names":false,"suffix":""}],"container-title":"Jurnal Penelitian Pertanian Terapan","id":"ITEM-2","issue":"4","issued":{"date-parts":[["2023"]]},"page":"489-498","title":"Kinerja Rantai Pasok Industri Kopi Bubuk Di Kecamatan Kemiling Kota Bandar Lampung","type":"article-journal","volume":"23"},"uris":["http://www.mendeley.com/documents/?uuid=c725668d-4e22-41f1-8f69-9fc8781a8416"]}],"mendeley":{"formattedCitation":"(Aswat et al., 2023; Riantini et al., 2023)","plainTextFormattedCitation":"(Aswat et al., 2023; Riantini et al., 2023)","previouslyFormattedCitation":"(Aswat et al., 2023; Riantini et al., 2023)"},"properties":{"noteIndex":0},"schema":"https://github.com/citation-style-language/schema/raw/master/csl-citation.json"}</w:instrText>
      </w:r>
      <w:r w:rsidR="001075F8" w:rsidRPr="00A553EE">
        <w:rPr>
          <w:rFonts w:ascii="Times New Roman" w:eastAsia="Palatino Linotype" w:hAnsi="Times New Roman" w:cs="Times New Roman"/>
          <w:color w:val="000000"/>
          <w:sz w:val="24"/>
          <w:szCs w:val="24"/>
        </w:rPr>
        <w:fldChar w:fldCharType="separate"/>
      </w:r>
      <w:r w:rsidR="001075F8" w:rsidRPr="00A553EE">
        <w:rPr>
          <w:rFonts w:ascii="Times New Roman" w:eastAsia="Palatino Linotype" w:hAnsi="Times New Roman" w:cs="Times New Roman"/>
          <w:noProof/>
          <w:color w:val="000000"/>
          <w:sz w:val="24"/>
          <w:szCs w:val="24"/>
        </w:rPr>
        <w:t>(Aswat et al., 2023; Riantini et al., 2023)</w:t>
      </w:r>
      <w:r w:rsidR="001075F8"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 xml:space="preserve">. In addition, the SCOR framework models the supply chain through the plan–source–make–deliver–return process, so that the logical unit of analysis is the actor directly involved in the process </w:t>
      </w:r>
      <w:r w:rsidR="001075F8" w:rsidRPr="00A553EE">
        <w:rPr>
          <w:rFonts w:ascii="Times New Roman" w:eastAsia="Palatino Linotype" w:hAnsi="Times New Roman" w:cs="Times New Roman"/>
          <w:color w:val="000000"/>
          <w:sz w:val="24"/>
          <w:szCs w:val="24"/>
        </w:rPr>
        <w:fldChar w:fldCharType="begin" w:fldLock="1"/>
      </w:r>
      <w:r w:rsidR="001075F8" w:rsidRPr="00A553EE">
        <w:rPr>
          <w:rFonts w:ascii="Times New Roman" w:eastAsia="Palatino Linotype" w:hAnsi="Times New Roman" w:cs="Times New Roman"/>
          <w:color w:val="000000"/>
          <w:sz w:val="24"/>
          <w:szCs w:val="24"/>
        </w:rPr>
        <w:instrText>ADDIN CSL_CITATION {"citationItems":[{"id":"ITEM-1","itemData":{"DOI":"10.12962/j23373539.v9i1.50436","author":[{"dropping-particle":"","family":"Sitorus","given":"Mayshel Y","non-dropping-particle":"","parse-names":false,"suffix":""},{"dropping-particle":"","family":"Baihaqi","given":"Imam","non-dropping-particle":"","parse-names":false,"suffix":""},{"dropping-particle":"","family":"Ardiantono","given":"Dewie S","non-dropping-particle":"","parse-names":false,"suffix":""}],"container-title":"Jurnal Teknik Its","id":"ITEM-1","issue":"1","issued":{"date-parts":[["2020"]]},"title":"Supply Chain Analytics Maturity Model: Sebuah Tinjauan Pustaka","type":"article-journal","volume":"9"},"uris":["http://www.mendeley.com/documents/?uuid=0bceb252-9e2a-4b6a-a982-ff22880015cc"]}],"mendeley":{"formattedCitation":"(Sitorus et al., 2020)","plainTextFormattedCitation":"(Sitorus et al., 2020)","previouslyFormattedCitation":"(Sitorus et al., 2020)"},"properties":{"noteIndex":0},"schema":"https://github.com/citation-style-language/schema/raw/master/csl-citation.json"}</w:instrText>
      </w:r>
      <w:r w:rsidR="001075F8" w:rsidRPr="00A553EE">
        <w:rPr>
          <w:rFonts w:ascii="Times New Roman" w:eastAsia="Palatino Linotype" w:hAnsi="Times New Roman" w:cs="Times New Roman"/>
          <w:color w:val="000000"/>
          <w:sz w:val="24"/>
          <w:szCs w:val="24"/>
        </w:rPr>
        <w:fldChar w:fldCharType="separate"/>
      </w:r>
      <w:r w:rsidR="001075F8" w:rsidRPr="00A553EE">
        <w:rPr>
          <w:rFonts w:ascii="Times New Roman" w:eastAsia="Palatino Linotype" w:hAnsi="Times New Roman" w:cs="Times New Roman"/>
          <w:noProof/>
          <w:color w:val="000000"/>
          <w:sz w:val="24"/>
          <w:szCs w:val="24"/>
        </w:rPr>
        <w:t>(Sitorus et al., 2020)</w:t>
      </w:r>
      <w:r w:rsidR="001075F8"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w:t>
      </w:r>
    </w:p>
    <w:p w14:paraId="2274FC13" w14:textId="6E82C5D2" w:rsidR="00CB4C91" w:rsidRPr="00A553EE" w:rsidRDefault="00DE16B9"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 xml:space="preserve">The research sample consisted of 50 respondents representing key operational roles, including project managers, contractors, subcontractors, procurement staff, and material suppliers. The selection of respondents considers direct involvement and understanding of the project's supply chain processes, so that the measured perceptions reflect relevant empirical experience </w:t>
      </w:r>
      <w:r w:rsidR="001075F8" w:rsidRPr="00A553EE">
        <w:rPr>
          <w:rFonts w:ascii="Times New Roman" w:eastAsia="Palatino Linotype" w:hAnsi="Times New Roman" w:cs="Times New Roman"/>
          <w:color w:val="000000"/>
          <w:sz w:val="24"/>
          <w:szCs w:val="24"/>
        </w:rPr>
        <w:fldChar w:fldCharType="begin" w:fldLock="1"/>
      </w:r>
      <w:r w:rsidR="001075F8" w:rsidRPr="00A553EE">
        <w:rPr>
          <w:rFonts w:ascii="Times New Roman" w:eastAsia="Palatino Linotype" w:hAnsi="Times New Roman" w:cs="Times New Roman"/>
          <w:color w:val="000000"/>
          <w:sz w:val="24"/>
          <w:szCs w:val="24"/>
        </w:rPr>
        <w:instrText>ADDIN CSL_CITATION {"citationItems":[{"id":"ITEM-1","itemData":{"DOI":"10.1177/03063070221080008","author":[{"dropping-particle":"","family":"Kamani","given":"Elham","non-dropping-particle":"","parse-names":false,"suffix":""},{"dropping-particle":"","family":"Kalisz","given":"David","non-dropping-particle":"","parse-names":false,"suffix":""},{"dropping-particle":"","family":"Szyran-Resiak","given":"Agata","non-dropping-particle":"","parse-names":false,"suffix":""}],"container-title":"Journal of General Management","id":"ITEM-1","issue":"4","issued":{"date-parts":[["2023"]]},"page":"370-385","title":"Patients’ Behavioral Intentions Toward Robotic Adoption in Healthcare: An Approach on Apprehension of Embedding Robotics","type":"article-journal","volume":"48"},"uris":["http://www.mendeley.com/documents/?uuid=c36daa95-7e71-4c04-a784-7bebd31d5802"]},{"id":"ITEM-2","itemData":{"DOI":"10.20961/meister.v1i1.455","author":[{"dropping-particle":"","family":"Hafidz","given":"Hamzah","non-dropping-particle":"","parse-names":false,"suffix":""},{"dropping-particle":"","family":"Rahmawati","given":"Novi R","non-dropping-particle":"","parse-names":false,"suffix":""}],"container-title":"J. Manaj. Bisnis Dan Terap","id":"ITEM-2","issue":"1","issued":{"date-parts":[["2023"]]},"page":"64-74","title":"Pengukuran Kinerja Supply Chain Management Cv. Industri Classica Variasi Menggunakan Metode Scor","type":"article-journal","volume":"1"},"uris":["http://www.mendeley.com/documents/?uuid=f52318f3-4958-4930-9917-3f69dc406976"]}],"mendeley":{"formattedCitation":"(Hafidz &amp; Rahmawati, 2023; Kamani et al., 2023)","plainTextFormattedCitation":"(Hafidz &amp; Rahmawati, 2023; Kamani et al., 2023)","previouslyFormattedCitation":"(Hafidz &amp; Rahmawati, 2023; Kamani et al., 2023)"},"properties":{"noteIndex":0},"schema":"https://github.com/citation-style-language/schema/raw/master/csl-citation.json"}</w:instrText>
      </w:r>
      <w:r w:rsidR="001075F8" w:rsidRPr="00A553EE">
        <w:rPr>
          <w:rFonts w:ascii="Times New Roman" w:eastAsia="Palatino Linotype" w:hAnsi="Times New Roman" w:cs="Times New Roman"/>
          <w:color w:val="000000"/>
          <w:sz w:val="24"/>
          <w:szCs w:val="24"/>
        </w:rPr>
        <w:fldChar w:fldCharType="separate"/>
      </w:r>
      <w:r w:rsidR="001075F8" w:rsidRPr="00A553EE">
        <w:rPr>
          <w:rFonts w:ascii="Times New Roman" w:eastAsia="Palatino Linotype" w:hAnsi="Times New Roman" w:cs="Times New Roman"/>
          <w:noProof/>
          <w:color w:val="000000"/>
          <w:sz w:val="24"/>
          <w:szCs w:val="24"/>
        </w:rPr>
        <w:t>(Hafidz &amp; Rahmawati, 2023; Kamani et al., 2023)</w:t>
      </w:r>
      <w:r w:rsidR="001075F8"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 xml:space="preserve">. The generalization of the results of the study is limited to the context of the research area and is interpreted according to the limitations of the cross-sectional design </w:t>
      </w:r>
      <w:r w:rsidR="001075F8" w:rsidRPr="00A553EE">
        <w:rPr>
          <w:rFonts w:ascii="Times New Roman" w:eastAsia="Palatino Linotype" w:hAnsi="Times New Roman" w:cs="Times New Roman"/>
          <w:color w:val="000000"/>
          <w:sz w:val="24"/>
          <w:szCs w:val="24"/>
        </w:rPr>
        <w:fldChar w:fldCharType="begin" w:fldLock="1"/>
      </w:r>
      <w:r w:rsidR="00035516" w:rsidRPr="00A553EE">
        <w:rPr>
          <w:rFonts w:ascii="Times New Roman" w:eastAsia="Palatino Linotype" w:hAnsi="Times New Roman" w:cs="Times New Roman"/>
          <w:color w:val="000000"/>
          <w:sz w:val="24"/>
          <w:szCs w:val="24"/>
        </w:rPr>
        <w:instrText>ADDIN CSL_CITATION {"citationItems":[{"id":"ITEM-1","itemData":{"DOI":"10.3389/fpubh.2024.1433718","author":[{"dropping-particle":"","family":"Wang","given":"Lingyan","non-dropping-particle":"","parse-names":false,"suffix":""},{"dropping-particle":"","family":"Wang","given":"Qianping","non-dropping-particle":"","parse-names":false,"suffix":""},{"dropping-particle":"","family":"Zhou","given":"Xia","non-dropping-particle":"","parse-names":false,"suffix":""},{"dropping-particle":"","family":"Liu","given":"Huan","non-dropping-particle":"","parse-names":false,"suffix":""}],"container-title":"Frontiers in Public Health","id":"ITEM-1","issued":{"date-parts":[["2024"]]},"title":"Women’s Knowledge, Attitude, and Practice Regarding Cervical Precancerous Lesions: A Cross-Sectional Study in Beijing, China","type":"article-journal","volume":"12"},"uris":["http://www.mendeley.com/documents/?uuid=f049ebe8-9b62-4f0f-b894-8a0236b3ce53"]}],"mendeley":{"formattedCitation":"(Lingyan Wang et al., 2024)","plainTextFormattedCitation":"(Lingyan Wang et al., 2024)","previouslyFormattedCitation":"(Lingyan Wang et al., 2024)"},"properties":{"noteIndex":0},"schema":"https://github.com/citation-style-language/schema/raw/master/csl-citation.json"}</w:instrText>
      </w:r>
      <w:r w:rsidR="001075F8" w:rsidRPr="00A553EE">
        <w:rPr>
          <w:rFonts w:ascii="Times New Roman" w:eastAsia="Palatino Linotype" w:hAnsi="Times New Roman" w:cs="Times New Roman"/>
          <w:color w:val="000000"/>
          <w:sz w:val="24"/>
          <w:szCs w:val="24"/>
        </w:rPr>
        <w:fldChar w:fldCharType="separate"/>
      </w:r>
      <w:r w:rsidR="00035516" w:rsidRPr="00A553EE">
        <w:rPr>
          <w:rFonts w:ascii="Times New Roman" w:eastAsia="Palatino Linotype" w:hAnsi="Times New Roman" w:cs="Times New Roman"/>
          <w:noProof/>
          <w:color w:val="000000"/>
          <w:sz w:val="24"/>
          <w:szCs w:val="24"/>
        </w:rPr>
        <w:t>(Lingyan Wang et al., 2024)</w:t>
      </w:r>
      <w:r w:rsidR="001075F8"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w:t>
      </w:r>
    </w:p>
    <w:p w14:paraId="7CF72A82" w14:textId="77777777" w:rsidR="00CB4C91" w:rsidRPr="00A553EE" w:rsidRDefault="00CB4C91"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p>
    <w:p w14:paraId="3126B39D" w14:textId="58CF9481" w:rsidR="00CB4C91" w:rsidRPr="00A553EE" w:rsidRDefault="00CB4C91" w:rsidP="00F85AAE">
      <w:pPr>
        <w:pBdr>
          <w:top w:val="nil"/>
          <w:left w:val="nil"/>
          <w:bottom w:val="nil"/>
          <w:right w:val="nil"/>
          <w:between w:val="nil"/>
        </w:pBdr>
        <w:spacing w:after="0" w:line="240" w:lineRule="auto"/>
        <w:jc w:val="both"/>
        <w:rPr>
          <w:rFonts w:ascii="Times New Roman" w:eastAsia="Palatino Linotype" w:hAnsi="Times New Roman" w:cs="Times New Roman"/>
          <w:b/>
          <w:bCs/>
          <w:color w:val="000000"/>
          <w:sz w:val="24"/>
          <w:szCs w:val="24"/>
        </w:rPr>
      </w:pPr>
      <w:r w:rsidRPr="00A553EE">
        <w:rPr>
          <w:rFonts w:ascii="Times New Roman" w:eastAsia="Palatino Linotype" w:hAnsi="Times New Roman" w:cs="Times New Roman"/>
          <w:b/>
          <w:bCs/>
          <w:color w:val="000000"/>
          <w:sz w:val="24"/>
          <w:szCs w:val="24"/>
        </w:rPr>
        <w:t>Variable Research and Operationalization Instruments</w:t>
      </w:r>
    </w:p>
    <w:p w14:paraId="14234E91" w14:textId="6BCFD670" w:rsidR="00CB4C91" w:rsidRPr="00A553EE" w:rsidRDefault="00DE16B9"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 xml:space="preserve">The research instrument was in the form of a structured closed questionnaire with a five-point Likert scale, which was used to collect respondents' perception data in one measurement period. The questionnaire is designed to measure two main constructs, namely the measurement of supply chain performance and the performance of the supply chain of residential construction. The measurement dimension was developed based on the SCOR framework and enriched with collaboration, risk management, and sustainability perspectives. The dimensions used include cost efficiency, timeliness, quality, flexibility, collaboration between actors, risk management, and sustainability </w:t>
      </w:r>
      <w:r w:rsidR="001075F8" w:rsidRPr="00A553EE">
        <w:rPr>
          <w:rFonts w:ascii="Times New Roman" w:eastAsia="Palatino Linotype" w:hAnsi="Times New Roman" w:cs="Times New Roman"/>
          <w:color w:val="000000"/>
          <w:sz w:val="24"/>
          <w:szCs w:val="24"/>
        </w:rPr>
        <w:fldChar w:fldCharType="begin" w:fldLock="1"/>
      </w:r>
      <w:r w:rsidR="00035516" w:rsidRPr="00A553EE">
        <w:rPr>
          <w:rFonts w:ascii="Times New Roman" w:eastAsia="Palatino Linotype" w:hAnsi="Times New Roman" w:cs="Times New Roman"/>
          <w:color w:val="000000"/>
          <w:sz w:val="24"/>
          <w:szCs w:val="24"/>
        </w:rPr>
        <w:instrText>ADDIN CSL_CITATION {"citationItems":[{"id":"ITEM-1","itemData":{"DOI":"10.25181/jppt.v23i4.2976","author":[{"dropping-particle":"","family":"Aswat","given":"Jumaratul","non-dropping-particle":"","parse-names":false,"suffix":""},{"dropping-particle":"","family":"Maswadi","given":"Maswadi","non-dropping-particle":"","parse-names":false,"suffix":""},{"dropping-particle":"","family":"Kusrini","given":"Novira","non-dropping-particle":"","parse-names":false,"suffix":""}],"container-title":"Jurnal Penelitian Pertanian Terapan","id":"ITEM-1","issue":"4","issued":{"date-parts":[["2023"]]},"page":"538-546","title":"Efficiency of Robusta Coffee Supply Chain Performance in Kubu Raya Regency, West Kalimantan Province","type":"article-journal","volume":"23"},"uris":["http://www.mendeley.com/documents/?uuid=8c5d8786-c5c6-424d-bf2a-4dd8b4a5826e"]},{"id":"ITEM-2","itemData":{"DOI":"10.25181/jppt.v23i4.2930","author":[{"dropping-particle":"","family":"Riantini","given":"Maya","non-dropping-particle":"","parse-names":false,"suffix":""},{"dropping-particle":"","family":"Affandi","given":"Muhammad I","non-dropping-particle":"","parse-names":false,"suffix":""},{"dropping-particle":"","family":"Nur’aini","given":"Lestari G","non-dropping-particle":"","parse-names":false,"suffix":""},{"dropping-particle":"","family":"Kusnandi","given":"Savira A","non-dropping-particle":"","parse-names":false,"suffix":""}],"container-title":"Jurnal Penelitian Pertanian Terapan","id":"ITEM-2","issue":"4","issued":{"date-parts":[["2023"]]},"page":"489-498","title":"Kinerja Rantai Pasok Industri Kopi Bubuk Di Kecamatan Kemiling Kota Bandar Lampung","type":"article-journal","volume":"23"},"uris":["http://www.mendeley.com/documents/?uuid=c725668d-4e22-41f1-8f69-9fc8781a8416"]},{"id":"ITEM-3","itemData":{"DOI":"10.36841/agribios.v21i1.2892","author":[{"dropping-particle":"","family":"Mayangsari","given":"Andina","non-dropping-particle":"","parse-names":false,"suffix":""},{"dropping-particle":"","family":"Fauzi","given":"Farit A","non-dropping-particle":"","parse-names":false,"suffix":""}],"container-title":"Agribios","id":"ITEM-3","issue":"1","issued":{"date-parts":[["2023"]]},"page":"34","title":"ANALISIS DESAIN METRIK PENGUKURAN KINERJA RANTAI PASOK TEBU (Kasus Di Pabrik Gula Wringin Anom Kabupaten Situbondo)","type":"article-journal","volume":"21"},"uris":["http://www.mendeley.com/documents/?uuid=d15a37fe-9608-48b7-a121-7a42ae3f7478"]}],"mendeley":{"formattedCitation":"(Aswat et al., 2023; Mayangsari &amp; Fauzi, 2023; Riantini et al., 2023)","plainTextFormattedCitation":"(Aswat et al., 2023; Mayangsari &amp; Fauzi, 2023; Riantini et al., 2023)","previouslyFormattedCitation":"(Aswat et al., 2023; Mayangsari &amp; Fauzi, 2023; Riantini et al., 2023)"},"properties":{"noteIndex":0},"schema":"https://github.com/citation-style-language/schema/raw/master/csl-citation.json"}</w:instrText>
      </w:r>
      <w:r w:rsidR="001075F8" w:rsidRPr="00A553EE">
        <w:rPr>
          <w:rFonts w:ascii="Times New Roman" w:eastAsia="Palatino Linotype" w:hAnsi="Times New Roman" w:cs="Times New Roman"/>
          <w:color w:val="000000"/>
          <w:sz w:val="24"/>
          <w:szCs w:val="24"/>
        </w:rPr>
        <w:fldChar w:fldCharType="separate"/>
      </w:r>
      <w:r w:rsidR="001075F8" w:rsidRPr="00A553EE">
        <w:rPr>
          <w:rFonts w:ascii="Times New Roman" w:eastAsia="Palatino Linotype" w:hAnsi="Times New Roman" w:cs="Times New Roman"/>
          <w:noProof/>
          <w:color w:val="000000"/>
          <w:sz w:val="24"/>
          <w:szCs w:val="24"/>
        </w:rPr>
        <w:t>(Aswat et al., 2023; Mayangsari &amp; Fauzi, 2023; Riantini et al., 2023)</w:t>
      </w:r>
      <w:r w:rsidR="001075F8"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w:t>
      </w:r>
    </w:p>
    <w:p w14:paraId="2989D430" w14:textId="77777777" w:rsidR="00CB4C91" w:rsidRPr="00A553EE" w:rsidRDefault="00CB4C91"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p>
    <w:p w14:paraId="279E022A" w14:textId="2E810570" w:rsidR="00CB4C91" w:rsidRPr="00A553EE" w:rsidRDefault="00CB4C91" w:rsidP="00F85AAE">
      <w:pPr>
        <w:pBdr>
          <w:top w:val="nil"/>
          <w:left w:val="nil"/>
          <w:bottom w:val="nil"/>
          <w:right w:val="nil"/>
          <w:between w:val="nil"/>
        </w:pBdr>
        <w:spacing w:after="0" w:line="240" w:lineRule="auto"/>
        <w:jc w:val="both"/>
        <w:rPr>
          <w:rFonts w:ascii="Times New Roman" w:eastAsia="Palatino Linotype" w:hAnsi="Times New Roman" w:cs="Times New Roman"/>
          <w:b/>
          <w:bCs/>
          <w:color w:val="000000"/>
          <w:sz w:val="24"/>
          <w:szCs w:val="24"/>
        </w:rPr>
      </w:pPr>
      <w:r w:rsidRPr="00A553EE">
        <w:rPr>
          <w:rFonts w:ascii="Times New Roman" w:eastAsia="Palatino Linotype" w:hAnsi="Times New Roman" w:cs="Times New Roman"/>
          <w:b/>
          <w:bCs/>
          <w:color w:val="000000"/>
          <w:sz w:val="24"/>
          <w:szCs w:val="24"/>
        </w:rPr>
        <w:t>Test of Instrument Validity and Reliability</w:t>
      </w:r>
    </w:p>
    <w:p w14:paraId="090C93C2" w14:textId="525B2FF8" w:rsidR="00CB4C91" w:rsidRPr="00A553EE" w:rsidRDefault="00DE16B9"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 xml:space="preserve">The research instruments are tested to ensure validity and reliability according to quantitative research practices. Validity indicates the accuracy of the instrument in measuring the construct in question, while reliability reflects the internal consistency of the measurement </w:t>
      </w:r>
      <w:r w:rsidR="00035516" w:rsidRPr="00A553EE">
        <w:rPr>
          <w:rFonts w:ascii="Times New Roman" w:eastAsia="Palatino Linotype" w:hAnsi="Times New Roman" w:cs="Times New Roman"/>
          <w:color w:val="000000"/>
          <w:sz w:val="24"/>
          <w:szCs w:val="24"/>
        </w:rPr>
        <w:fldChar w:fldCharType="begin" w:fldLock="1"/>
      </w:r>
      <w:r w:rsidR="00035516" w:rsidRPr="00A553EE">
        <w:rPr>
          <w:rFonts w:ascii="Times New Roman" w:eastAsia="Palatino Linotype" w:hAnsi="Times New Roman" w:cs="Times New Roman"/>
          <w:color w:val="000000"/>
          <w:sz w:val="24"/>
          <w:szCs w:val="24"/>
        </w:rPr>
        <w:instrText>ADDIN CSL_CITATION {"citationItems":[{"id":"ITEM-1","itemData":{"DOI":"10.3389/fpsyg.2021.600348","author":[{"dropping-particle":"","family":"Wang","given":"Li","non-dropping-particle":"","parse-names":false,"suffix":""}],"container-title":"Frontiers in Psychology","id":"ITEM-1","issued":{"date-parts":[["2021"]]},"title":"The Analysis of Mathematics Academic Burden for Primary School Students Based on PISA Data Analysis","type":"article-journal","volume":"12"},"uris":["http://www.mendeley.com/documents/?uuid=710626f0-5162-47c3-b64f-2452d7bd0050"]},{"id":"ITEM-2","itemData":{"DOI":"10.35774/jee2022.01.082","author":[{"dropping-particle":"","family":"Thanasas","given":"Georgios L","non-dropping-particle":"","parse-names":false,"suffix":""},{"dropping-particle":"","family":"PATRA","given":"Eleni","non-dropping-particle":"","parse-names":false,"suffix":""},{"dropping-particle":"","family":"Lampropoulos","given":"Spyridon","non-dropping-particle":"","parse-names":false,"suffix":""}],"container-title":"Journal of European Economy","id":"ITEM-2","issue":"Volume 21, Vol 21, No 1 (2022)","issued":{"date-parts":[["2022"]]},"page":"82-111","title":"Corporate Social Responsibility and Environmental Accounting: How Do They Apply in Greece?","type":"article-journal"},"uris":["http://www.mendeley.com/documents/?uuid=b4b72c9d-355f-4ae0-8917-61cd3a663e24"]}],"mendeley":{"formattedCitation":"(Thanasas et al., 2022; Li Wang, 2021)","plainTextFormattedCitation":"(Thanasas et al., 2022; Li Wang, 2021)","previouslyFormattedCitation":"(Thanasas et al., 2022; Li Wang, 2021)"},"properties":{"noteIndex":0},"schema":"https://github.com/citation-style-language/schema/raw/master/csl-citation.json"}</w:instrText>
      </w:r>
      <w:r w:rsidR="00035516" w:rsidRPr="00A553EE">
        <w:rPr>
          <w:rFonts w:ascii="Times New Roman" w:eastAsia="Palatino Linotype" w:hAnsi="Times New Roman" w:cs="Times New Roman"/>
          <w:color w:val="000000"/>
          <w:sz w:val="24"/>
          <w:szCs w:val="24"/>
        </w:rPr>
        <w:fldChar w:fldCharType="separate"/>
      </w:r>
      <w:r w:rsidR="00035516" w:rsidRPr="00A553EE">
        <w:rPr>
          <w:rFonts w:ascii="Times New Roman" w:eastAsia="Palatino Linotype" w:hAnsi="Times New Roman" w:cs="Times New Roman"/>
          <w:noProof/>
          <w:color w:val="000000"/>
          <w:sz w:val="24"/>
          <w:szCs w:val="24"/>
        </w:rPr>
        <w:t>(Thanasas et al., 2022; Li Wang, 2021)</w:t>
      </w:r>
      <w:r w:rsidR="00035516"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 xml:space="preserve">. Reliability tests were performed using Cronbach's Alpha, and the high alpha values were interpreted as evidence of excellent internal consistency </w:t>
      </w:r>
      <w:r w:rsidRPr="00A553EE">
        <w:rPr>
          <w:rFonts w:ascii="Times New Roman" w:eastAsia="Palatino Linotype" w:hAnsi="Times New Roman" w:cs="Times New Roman"/>
          <w:color w:val="000000"/>
          <w:sz w:val="24"/>
          <w:szCs w:val="24"/>
        </w:rPr>
        <w:lastRenderedPageBreak/>
        <w:t xml:space="preserve">as well as the feasibility of the instrument for further analysis </w:t>
      </w:r>
      <w:r w:rsidR="00035516" w:rsidRPr="00A553EE">
        <w:rPr>
          <w:rFonts w:ascii="Times New Roman" w:eastAsia="Palatino Linotype" w:hAnsi="Times New Roman" w:cs="Times New Roman"/>
          <w:color w:val="000000"/>
          <w:sz w:val="24"/>
          <w:szCs w:val="24"/>
        </w:rPr>
        <w:fldChar w:fldCharType="begin" w:fldLock="1"/>
      </w:r>
      <w:r w:rsidR="00035516" w:rsidRPr="00A553EE">
        <w:rPr>
          <w:rFonts w:ascii="Times New Roman" w:eastAsia="Palatino Linotype" w:hAnsi="Times New Roman" w:cs="Times New Roman"/>
          <w:color w:val="000000"/>
          <w:sz w:val="24"/>
          <w:szCs w:val="24"/>
        </w:rPr>
        <w:instrText>ADDIN CSL_CITATION {"citationItems":[{"id":"ITEM-1","itemData":{"DOI":"10.1186/s12909-021-02986-0","author":[{"dropping-particle":"","family":"Hong","given":"Xiaomei","non-dropping-particle":"","parse-names":false,"suffix":""},{"dropping-particle":"","family":"Li","given":"Yueping","non-dropping-particle":"","parse-names":false,"suffix":""},{"dropping-particle":"","family":"Chen","given":"Zhong","non-dropping-particle":"","parse-names":false,"suffix":""},{"dropping-particle":"","family":"Lai","given":"Yingzhen","non-dropping-particle":"","parse-names":false,"suffix":""},{"dropping-particle":"","family":"Dai","given":"Qinyue","non-dropping-particle":"","parse-names":false,"suffix":""},{"dropping-particle":"","family":"Liang","given":"Wayne H","non-dropping-particle":"","parse-names":false,"suffix":""}],"container-title":"BMC Medical Education","id":"ITEM-1","issue":"1","issued":{"date-parts":[["2021"]]},"title":"Developing a Reliable and Valid Competency Model for Assistant Dentists in China","type":"article-journal","volume":"21"},"uris":["http://www.mendeley.com/documents/?uuid=b22fff3a-b50f-4ab6-8601-6cdd800fcbff"]},{"id":"ITEM-2","itemData":{"DOI":"10.2991/978-94-6463-102-9_133","author":[{"dropping-particle":"","family":"Wang","given":"Kang","non-dropping-particle":"","parse-names":false,"suffix":""}],"id":"ITEM-2","issued":{"date-parts":[["2023"]]},"page":"1292-1296","title":"A Study of Human Resource Management Competency Model Based on Data Science","type":"article-journal"},"uris":["http://www.mendeley.com/documents/?uuid=f90112b3-b89f-40eb-958c-88f8d328188e"]}],"mendeley":{"formattedCitation":"(Hong et al., 2021; K. Wang, 2023)","plainTextFormattedCitation":"(Hong et al., 2021; K. Wang, 2023)","previouslyFormattedCitation":"(Hong et al., 2021; K. Wang, 2023)"},"properties":{"noteIndex":0},"schema":"https://github.com/citation-style-language/schema/raw/master/csl-citation.json"}</w:instrText>
      </w:r>
      <w:r w:rsidR="00035516" w:rsidRPr="00A553EE">
        <w:rPr>
          <w:rFonts w:ascii="Times New Roman" w:eastAsia="Palatino Linotype" w:hAnsi="Times New Roman" w:cs="Times New Roman"/>
          <w:color w:val="000000"/>
          <w:sz w:val="24"/>
          <w:szCs w:val="24"/>
        </w:rPr>
        <w:fldChar w:fldCharType="separate"/>
      </w:r>
      <w:r w:rsidR="00035516" w:rsidRPr="00A553EE">
        <w:rPr>
          <w:rFonts w:ascii="Times New Roman" w:eastAsia="Palatino Linotype" w:hAnsi="Times New Roman" w:cs="Times New Roman"/>
          <w:noProof/>
          <w:color w:val="000000"/>
          <w:sz w:val="24"/>
          <w:szCs w:val="24"/>
        </w:rPr>
        <w:t>(Hong et al., 2021; K. Wang, 2023)</w:t>
      </w:r>
      <w:r w:rsidR="00035516"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w:t>
      </w:r>
    </w:p>
    <w:p w14:paraId="55FE3B96" w14:textId="77777777" w:rsidR="00A826FF" w:rsidRPr="00A553EE" w:rsidRDefault="00A826FF" w:rsidP="00F85AAE">
      <w:pPr>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p>
    <w:p w14:paraId="3CF6DED5" w14:textId="26BA54BC" w:rsidR="00CB4C91" w:rsidRPr="00A553EE" w:rsidRDefault="00CB4C91" w:rsidP="00F85AAE">
      <w:pPr>
        <w:pBdr>
          <w:top w:val="nil"/>
          <w:left w:val="nil"/>
          <w:bottom w:val="nil"/>
          <w:right w:val="nil"/>
          <w:between w:val="nil"/>
        </w:pBdr>
        <w:spacing w:after="0" w:line="240" w:lineRule="auto"/>
        <w:jc w:val="both"/>
        <w:rPr>
          <w:rFonts w:ascii="Times New Roman" w:eastAsia="Palatino Linotype" w:hAnsi="Times New Roman" w:cs="Times New Roman"/>
          <w:b/>
          <w:bCs/>
          <w:color w:val="000000"/>
          <w:sz w:val="24"/>
          <w:szCs w:val="24"/>
        </w:rPr>
      </w:pPr>
      <w:r w:rsidRPr="00A553EE">
        <w:rPr>
          <w:rFonts w:ascii="Times New Roman" w:eastAsia="Palatino Linotype" w:hAnsi="Times New Roman" w:cs="Times New Roman"/>
          <w:b/>
          <w:bCs/>
          <w:color w:val="000000"/>
          <w:sz w:val="24"/>
          <w:szCs w:val="24"/>
        </w:rPr>
        <w:t>Data Analysis Techniques</w:t>
      </w:r>
    </w:p>
    <w:p w14:paraId="5DF87B8E" w14:textId="45413D67" w:rsidR="00CB4C91" w:rsidRPr="00A553EE" w:rsidRDefault="00DE16B9"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 xml:space="preserve">Data was analyzed using Statistical Product and Service Solutions (SPSS). The analysis stages include descriptive analysis, validity and reliability tests, and linear regression analysis to test the hypothesis of the relationship between supply chain performance measurement and housing development supply chain performance. The use of linear regression is in line with the research practice of cross-sectional explanatory surveys which aim to objectively test the relationships between variables </w:t>
      </w:r>
      <w:r w:rsidR="00035516" w:rsidRPr="00A553EE">
        <w:rPr>
          <w:rFonts w:ascii="Times New Roman" w:eastAsia="Palatino Linotype" w:hAnsi="Times New Roman" w:cs="Times New Roman"/>
          <w:color w:val="000000"/>
          <w:sz w:val="24"/>
          <w:szCs w:val="24"/>
        </w:rPr>
        <w:fldChar w:fldCharType="begin" w:fldLock="1"/>
      </w:r>
      <w:r w:rsidR="00035516" w:rsidRPr="00A553EE">
        <w:rPr>
          <w:rFonts w:ascii="Times New Roman" w:eastAsia="Palatino Linotype" w:hAnsi="Times New Roman" w:cs="Times New Roman"/>
          <w:color w:val="000000"/>
          <w:sz w:val="24"/>
          <w:szCs w:val="24"/>
        </w:rPr>
        <w:instrText>ADDIN CSL_CITATION {"citationItems":[{"id":"ITEM-1","itemData":{"DOI":"10.3390/ijerph191811310","author":[{"dropping-particle":"","family":"Döring","given":"Nicola","non-dropping-particle":"","parse-names":false,"suffix":""},{"dropping-particle":"","family":"Conde","given":"Melisa","non-dropping-particle":"","parse-names":false,"suffix":""},{"dropping-particle":"","family":"Brandenburg","given":"Karlheinz","non-dropping-particle":"","parse-names":false,"suffix":""},{"dropping-particle":"","family":"Broll","given":"Wolfgang","non-dropping-particle":"","parse-names":false,"suffix":""},{"dropping-particle":"","family":"Groß","given":"Horst–Michael","non-dropping-particle":"","parse-names":false,"suffix":""},{"dropping-particle":"","family":"Werner","given":"Stephan","non-dropping-particle":"","parse-names":false,"suffix":""},{"dropping-particle":"","family":"Raake","given":"Alexander","non-dropping-particle":"","parse-names":false,"suffix":""}],"container-title":"International Journal of Environmental Research and Public Health","id":"ITEM-1","issue":"18","issued":{"date-parts":[["2022"]]},"page":"11310","title":"Can Communication Technologies Reduce Loneliness and Social Isolation in Older People? A Scoping Review of Reviews","type":"article-journal","volume":"19"},"uris":["http://www.mendeley.com/documents/?uuid=692b2776-c649-4513-a4d1-03f46e134c08"]},{"id":"ITEM-2","itemData":{"DOI":"10.1177/21582440241276182","author":[{"dropping-particle":"","family":"Amani","given":"David","non-dropping-particle":"","parse-names":false,"suffix":""},{"dropping-particle":"","family":"Mfumbilwa","given":"Esther E","non-dropping-particle":"","parse-names":false,"suffix":""}],"container-title":"Sage Open","id":"ITEM-2","issue":"3","issued":{"date-parts":[["2024"]]},"title":"Destination Promotion Videos and Tourism Knowledge: A Road Toward Residents’ Empowerment in Emerging Tourism Destinations","type":"article-journal","volume":"14"},"uris":["http://www.mendeley.com/documents/?uuid=66f4b815-9084-4cdc-954e-d3499537d315"]}],"mendeley":{"formattedCitation":"(Amani &amp; Mfumbilwa, 2024; Döring et al., 2022)","plainTextFormattedCitation":"(Amani &amp; Mfumbilwa, 2024; Döring et al., 2022)","previouslyFormattedCitation":"(Amani &amp; Mfumbilwa, 2024; Döring et al., 2022)"},"properties":{"noteIndex":0},"schema":"https://github.com/citation-style-language/schema/raw/master/csl-citation.json"}</w:instrText>
      </w:r>
      <w:r w:rsidR="00035516" w:rsidRPr="00A553EE">
        <w:rPr>
          <w:rFonts w:ascii="Times New Roman" w:eastAsia="Palatino Linotype" w:hAnsi="Times New Roman" w:cs="Times New Roman"/>
          <w:color w:val="000000"/>
          <w:sz w:val="24"/>
          <w:szCs w:val="24"/>
        </w:rPr>
        <w:fldChar w:fldCharType="separate"/>
      </w:r>
      <w:r w:rsidR="00035516" w:rsidRPr="00A553EE">
        <w:rPr>
          <w:rFonts w:ascii="Times New Roman" w:eastAsia="Palatino Linotype" w:hAnsi="Times New Roman" w:cs="Times New Roman"/>
          <w:noProof/>
          <w:color w:val="000000"/>
          <w:sz w:val="24"/>
          <w:szCs w:val="24"/>
        </w:rPr>
        <w:t>(Amani &amp; Mfumbilwa, 2024; Döring et al., 2022)</w:t>
      </w:r>
      <w:r w:rsidR="00035516"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w:t>
      </w:r>
    </w:p>
    <w:p w14:paraId="422575BB" w14:textId="77777777" w:rsidR="00CB4C91" w:rsidRPr="00A553EE" w:rsidRDefault="00CB4C91"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p>
    <w:p w14:paraId="322252B0" w14:textId="5614ABD9" w:rsidR="00CB4C91" w:rsidRPr="00A553EE" w:rsidRDefault="00CB4C91" w:rsidP="00B3380B">
      <w:pPr>
        <w:rPr>
          <w:rFonts w:ascii="Times New Roman" w:eastAsia="Palatino Linotype" w:hAnsi="Times New Roman" w:cs="Times New Roman"/>
          <w:b/>
          <w:color w:val="000000"/>
          <w:sz w:val="24"/>
          <w:szCs w:val="24"/>
        </w:rPr>
      </w:pPr>
      <w:r w:rsidRPr="00A553EE">
        <w:rPr>
          <w:rFonts w:ascii="Times New Roman" w:eastAsia="Palatino Linotype" w:hAnsi="Times New Roman" w:cs="Times New Roman"/>
          <w:b/>
          <w:color w:val="000000"/>
          <w:sz w:val="24"/>
          <w:szCs w:val="24"/>
        </w:rPr>
        <w:t xml:space="preserve">RESULTS </w:t>
      </w:r>
      <w:r w:rsidR="00F85AAE">
        <w:rPr>
          <w:rFonts w:ascii="Times New Roman" w:eastAsia="Palatino Linotype" w:hAnsi="Times New Roman" w:cs="Times New Roman"/>
          <w:b/>
          <w:color w:val="000000"/>
          <w:sz w:val="24"/>
          <w:szCs w:val="24"/>
        </w:rPr>
        <w:t>AND DISCUSSION</w:t>
      </w:r>
    </w:p>
    <w:p w14:paraId="69CAF5EA" w14:textId="22E5C870" w:rsidR="00CB4C91" w:rsidRPr="00A553EE" w:rsidRDefault="00463ACE"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 xml:space="preserve">This section presents the results of quantitative data analysis obtained from 50 respondents who are the main actors in the housing development supply chain. The analysis was carried out using SPSS-based descriptive and inferential statistics, in line with the research practice of cross-sectional explanatory quantitative surveys </w:t>
      </w:r>
      <w:r w:rsidR="00035516" w:rsidRPr="00A553EE">
        <w:rPr>
          <w:rFonts w:ascii="Times New Roman" w:eastAsia="Palatino Linotype" w:hAnsi="Times New Roman" w:cs="Times New Roman"/>
          <w:color w:val="000000"/>
          <w:sz w:val="24"/>
          <w:szCs w:val="24"/>
        </w:rPr>
        <w:fldChar w:fldCharType="begin" w:fldLock="1"/>
      </w:r>
      <w:r w:rsidR="00035516" w:rsidRPr="00A553EE">
        <w:rPr>
          <w:rFonts w:ascii="Times New Roman" w:eastAsia="Palatino Linotype" w:hAnsi="Times New Roman" w:cs="Times New Roman"/>
          <w:color w:val="000000"/>
          <w:sz w:val="24"/>
          <w:szCs w:val="24"/>
        </w:rPr>
        <w:instrText>ADDIN CSL_CITATION {"citationItems":[{"id":"ITEM-1","itemData":{"DOI":"10.3390/ijerph191811310","author":[{"dropping-particle":"","family":"Döring","given":"Nicola","non-dropping-particle":"","parse-names":false,"suffix":""},{"dropping-particle":"","family":"Conde","given":"Melisa","non-dropping-particle":"","parse-names":false,"suffix":""},{"dropping-particle":"","family":"Brandenburg","given":"Karlheinz","non-dropping-particle":"","parse-names":false,"suffix":""},{"dropping-particle":"","family":"Broll","given":"Wolfgang","non-dropping-particle":"","parse-names":false,"suffix":""},{"dropping-particle":"","family":"Groß","given":"Horst–Michael","non-dropping-particle":"","parse-names":false,"suffix":""},{"dropping-particle":"","family":"Werner","given":"Stephan","non-dropping-particle":"","parse-names":false,"suffix":""},{"dropping-particle":"","family":"Raake","given":"Alexander","non-dropping-particle":"","parse-names":false,"suffix":""}],"container-title":"International Journal of Environmental Research and Public Health","id":"ITEM-1","issue":"18","issued":{"date-parts":[["2022"]]},"page":"11310","title":"Can Communication Technologies Reduce Loneliness and Social Isolation in Older People? A Scoping Review of Reviews","type":"article-journal","volume":"19"},"uris":["http://www.mendeley.com/documents/?uuid=692b2776-c649-4513-a4d1-03f46e134c08"]},{"id":"ITEM-2","itemData":{"DOI":"10.1177/21582440241276182","author":[{"dropping-particle":"","family":"Amani","given":"David","non-dropping-particle":"","parse-names":false,"suffix":""},{"dropping-particle":"","family":"Mfumbilwa","given":"Esther E","non-dropping-particle":"","parse-names":false,"suffix":""}],"container-title":"Sage Open","id":"ITEM-2","issue":"3","issued":{"date-parts":[["2024"]]},"title":"Destination Promotion Videos and Tourism Knowledge: A Road Toward Residents’ Empowerment in Emerging Tourism Destinations","type":"article-journal","volume":"14"},"uris":["http://www.mendeley.com/documents/?uuid=66f4b815-9084-4cdc-954e-d3499537d315"]}],"mendeley":{"formattedCitation":"(Amani &amp; Mfumbilwa, 2024; Döring et al., 2022)","plainTextFormattedCitation":"(Amani &amp; Mfumbilwa, 2024; Döring et al., 2022)","previouslyFormattedCitation":"(Amani &amp; Mfumbilwa, 2024; Döring et al., 2022)"},"properties":{"noteIndex":0},"schema":"https://github.com/citation-style-language/schema/raw/master/csl-citation.json"}</w:instrText>
      </w:r>
      <w:r w:rsidR="00035516" w:rsidRPr="00A553EE">
        <w:rPr>
          <w:rFonts w:ascii="Times New Roman" w:eastAsia="Palatino Linotype" w:hAnsi="Times New Roman" w:cs="Times New Roman"/>
          <w:color w:val="000000"/>
          <w:sz w:val="24"/>
          <w:szCs w:val="24"/>
        </w:rPr>
        <w:fldChar w:fldCharType="separate"/>
      </w:r>
      <w:r w:rsidR="00035516" w:rsidRPr="00A553EE">
        <w:rPr>
          <w:rFonts w:ascii="Times New Roman" w:eastAsia="Palatino Linotype" w:hAnsi="Times New Roman" w:cs="Times New Roman"/>
          <w:noProof/>
          <w:color w:val="000000"/>
          <w:sz w:val="24"/>
          <w:szCs w:val="24"/>
        </w:rPr>
        <w:t>(Amani &amp; Mfumbilwa, 2024; Döring et al., 2022)</w:t>
      </w:r>
      <w:r w:rsidR="00035516"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 The data presented is the data processed by the questionnaire, so that it allows replication and retesting using the same procedures and instruments.</w:t>
      </w:r>
    </w:p>
    <w:p w14:paraId="2A48F2E4" w14:textId="77777777" w:rsidR="00CB4C91" w:rsidRPr="00A553EE" w:rsidRDefault="00CB4C91" w:rsidP="00F85AAE">
      <w:pPr>
        <w:spacing w:after="0" w:line="240" w:lineRule="auto"/>
        <w:jc w:val="both"/>
        <w:rPr>
          <w:rFonts w:ascii="Times New Roman" w:eastAsia="Palatino Linotype" w:hAnsi="Times New Roman" w:cs="Times New Roman"/>
          <w:color w:val="000000"/>
          <w:sz w:val="24"/>
          <w:szCs w:val="24"/>
        </w:rPr>
      </w:pPr>
    </w:p>
    <w:p w14:paraId="4B9AE959" w14:textId="053F734E" w:rsidR="00CB4C91" w:rsidRPr="00A553EE" w:rsidRDefault="00CB4C91" w:rsidP="00F85AAE">
      <w:pPr>
        <w:spacing w:after="0" w:line="240" w:lineRule="auto"/>
        <w:jc w:val="both"/>
        <w:rPr>
          <w:rFonts w:ascii="Times New Roman" w:eastAsia="Palatino Linotype" w:hAnsi="Times New Roman" w:cs="Times New Roman"/>
          <w:b/>
          <w:bCs/>
          <w:color w:val="000000"/>
          <w:sz w:val="24"/>
          <w:szCs w:val="24"/>
        </w:rPr>
      </w:pPr>
      <w:r w:rsidRPr="00A553EE">
        <w:rPr>
          <w:rFonts w:ascii="Times New Roman" w:eastAsia="Palatino Linotype" w:hAnsi="Times New Roman" w:cs="Times New Roman"/>
          <w:b/>
          <w:bCs/>
          <w:color w:val="000000"/>
          <w:sz w:val="24"/>
          <w:szCs w:val="24"/>
        </w:rPr>
        <w:t>Descriptive Statistics of Research Variables</w:t>
      </w:r>
    </w:p>
    <w:p w14:paraId="43318167" w14:textId="18F8D0BE" w:rsidR="00463ACE" w:rsidRDefault="00463ACE"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 xml:space="preserve">The results of descriptive statistics show that the Supply Chain Performance Measurement has an average value of </w:t>
      </w:r>
      <w:r w:rsidR="00B3380B">
        <w:rPr>
          <w:rFonts w:ascii="Times New Roman" w:eastAsia="Palatino Linotype" w:hAnsi="Times New Roman" w:cs="Times New Roman"/>
          <w:color w:val="000000"/>
          <w:sz w:val="24"/>
          <w:szCs w:val="24"/>
          <w:lang w:val="en-US"/>
        </w:rPr>
        <w:t>1</w:t>
      </w:r>
      <w:r w:rsidRPr="00A553EE">
        <w:rPr>
          <w:rFonts w:ascii="Times New Roman" w:eastAsia="Palatino Linotype" w:hAnsi="Times New Roman" w:cs="Times New Roman"/>
          <w:color w:val="000000"/>
          <w:sz w:val="24"/>
          <w:szCs w:val="24"/>
        </w:rPr>
        <w:t xml:space="preserve"> with a standard deviation of 0.53, which is in the high category. This value indicates that respondents consider the practice of measuring supply chain performance in housing projects to have been applied relatively systematically. The low standard deviation reflects the uniformity of respondents' perceptions, which reinforces the stability of the perception data in the context of this study.</w:t>
      </w:r>
    </w:p>
    <w:p w14:paraId="1C6CC066" w14:textId="77777777" w:rsidR="00B3380B" w:rsidRPr="00A553EE" w:rsidRDefault="00B3380B"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p>
    <w:p w14:paraId="2345E22B" w14:textId="60A9F4C7" w:rsidR="005000F6" w:rsidRPr="00B3380B" w:rsidRDefault="005000F6" w:rsidP="00F85AAE">
      <w:pPr>
        <w:pBdr>
          <w:top w:val="nil"/>
          <w:left w:val="nil"/>
          <w:bottom w:val="nil"/>
          <w:right w:val="nil"/>
          <w:between w:val="nil"/>
        </w:pBdr>
        <w:spacing w:after="0" w:line="240" w:lineRule="auto"/>
        <w:jc w:val="center"/>
        <w:rPr>
          <w:rFonts w:ascii="Times New Roman" w:eastAsia="Palatino Linotype" w:hAnsi="Times New Roman" w:cs="Times New Roman"/>
          <w:b/>
          <w:bCs/>
          <w:color w:val="000000"/>
          <w:sz w:val="24"/>
          <w:szCs w:val="24"/>
        </w:rPr>
      </w:pPr>
      <w:r w:rsidRPr="00B3380B">
        <w:rPr>
          <w:rFonts w:ascii="Times New Roman" w:eastAsia="Palatino Linotype" w:hAnsi="Times New Roman" w:cs="Times New Roman"/>
          <w:b/>
          <w:bCs/>
          <w:color w:val="000000"/>
          <w:sz w:val="24"/>
          <w:szCs w:val="24"/>
        </w:rPr>
        <w:t>Table 1. Characteristics of Research Respondents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11"/>
        <w:gridCol w:w="1961"/>
        <w:gridCol w:w="1666"/>
        <w:gridCol w:w="1544"/>
      </w:tblGrid>
      <w:tr w:rsidR="005000F6" w:rsidRPr="0000008A" w14:paraId="60761900" w14:textId="77777777" w:rsidTr="00B3380B">
        <w:trPr>
          <w:trHeight w:val="300"/>
          <w:jc w:val="center"/>
        </w:trPr>
        <w:tc>
          <w:tcPr>
            <w:tcW w:w="0" w:type="auto"/>
            <w:noWrap/>
            <w:hideMark/>
          </w:tcPr>
          <w:p w14:paraId="0226E049" w14:textId="77777777" w:rsidR="005000F6" w:rsidRPr="0000008A" w:rsidRDefault="005000F6" w:rsidP="00F85AAE">
            <w:pPr>
              <w:pBdr>
                <w:top w:val="nil"/>
                <w:left w:val="nil"/>
                <w:bottom w:val="nil"/>
                <w:right w:val="nil"/>
                <w:between w:val="nil"/>
              </w:pBdr>
              <w:jc w:val="both"/>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No.</w:t>
            </w:r>
          </w:p>
        </w:tc>
        <w:tc>
          <w:tcPr>
            <w:tcW w:w="0" w:type="auto"/>
            <w:noWrap/>
            <w:hideMark/>
          </w:tcPr>
          <w:p w14:paraId="2876EFB1" w14:textId="77777777" w:rsidR="005000F6" w:rsidRPr="0000008A" w:rsidRDefault="005000F6" w:rsidP="00F85AAE">
            <w:pPr>
              <w:pBdr>
                <w:top w:val="nil"/>
                <w:left w:val="nil"/>
                <w:bottom w:val="nil"/>
                <w:right w:val="nil"/>
                <w:between w:val="nil"/>
              </w:pBdr>
              <w:jc w:val="both"/>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Role of Respondents</w:t>
            </w:r>
          </w:p>
        </w:tc>
        <w:tc>
          <w:tcPr>
            <w:tcW w:w="0" w:type="auto"/>
            <w:noWrap/>
            <w:hideMark/>
          </w:tcPr>
          <w:p w14:paraId="75D6225B" w14:textId="77777777" w:rsidR="005000F6" w:rsidRPr="0000008A" w:rsidRDefault="005000F6" w:rsidP="00F85AAE">
            <w:pPr>
              <w:pBdr>
                <w:top w:val="nil"/>
                <w:left w:val="nil"/>
                <w:bottom w:val="nil"/>
                <w:right w:val="nil"/>
                <w:between w:val="nil"/>
              </w:pBdr>
              <w:jc w:val="both"/>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Number (people)</w:t>
            </w:r>
          </w:p>
        </w:tc>
        <w:tc>
          <w:tcPr>
            <w:tcW w:w="0" w:type="auto"/>
            <w:noWrap/>
            <w:hideMark/>
          </w:tcPr>
          <w:p w14:paraId="32F0F1B9" w14:textId="77777777" w:rsidR="005000F6" w:rsidRPr="0000008A" w:rsidRDefault="005000F6" w:rsidP="00F85AAE">
            <w:pPr>
              <w:pBdr>
                <w:top w:val="nil"/>
                <w:left w:val="nil"/>
                <w:bottom w:val="nil"/>
                <w:right w:val="nil"/>
                <w:between w:val="nil"/>
              </w:pBdr>
              <w:jc w:val="both"/>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Percentage (%)</w:t>
            </w:r>
          </w:p>
        </w:tc>
      </w:tr>
      <w:tr w:rsidR="005000F6" w:rsidRPr="00B3380B" w14:paraId="28E19EA7" w14:textId="77777777" w:rsidTr="00B3380B">
        <w:trPr>
          <w:trHeight w:val="300"/>
          <w:jc w:val="center"/>
        </w:trPr>
        <w:tc>
          <w:tcPr>
            <w:tcW w:w="0" w:type="auto"/>
            <w:noWrap/>
            <w:hideMark/>
          </w:tcPr>
          <w:p w14:paraId="2DAA0A30"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w:t>
            </w:r>
          </w:p>
        </w:tc>
        <w:tc>
          <w:tcPr>
            <w:tcW w:w="0" w:type="auto"/>
            <w:noWrap/>
            <w:hideMark/>
          </w:tcPr>
          <w:p w14:paraId="6F55B092"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Project Manager</w:t>
            </w:r>
          </w:p>
        </w:tc>
        <w:tc>
          <w:tcPr>
            <w:tcW w:w="0" w:type="auto"/>
            <w:noWrap/>
            <w:hideMark/>
          </w:tcPr>
          <w:p w14:paraId="4563C8C6"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10</w:t>
            </w:r>
          </w:p>
        </w:tc>
        <w:tc>
          <w:tcPr>
            <w:tcW w:w="0" w:type="auto"/>
            <w:noWrap/>
            <w:hideMark/>
          </w:tcPr>
          <w:p w14:paraId="201A37F6"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20</w:t>
            </w:r>
          </w:p>
        </w:tc>
      </w:tr>
      <w:tr w:rsidR="005000F6" w:rsidRPr="00B3380B" w14:paraId="39F0A5A4" w14:textId="77777777" w:rsidTr="00B3380B">
        <w:trPr>
          <w:trHeight w:val="300"/>
          <w:jc w:val="center"/>
        </w:trPr>
        <w:tc>
          <w:tcPr>
            <w:tcW w:w="0" w:type="auto"/>
            <w:noWrap/>
            <w:hideMark/>
          </w:tcPr>
          <w:p w14:paraId="72902EAD"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2</w:t>
            </w:r>
          </w:p>
        </w:tc>
        <w:tc>
          <w:tcPr>
            <w:tcW w:w="0" w:type="auto"/>
            <w:noWrap/>
            <w:hideMark/>
          </w:tcPr>
          <w:p w14:paraId="205BA407"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Main Contractors</w:t>
            </w:r>
          </w:p>
        </w:tc>
        <w:tc>
          <w:tcPr>
            <w:tcW w:w="0" w:type="auto"/>
            <w:noWrap/>
            <w:hideMark/>
          </w:tcPr>
          <w:p w14:paraId="76B059B6"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12</w:t>
            </w:r>
          </w:p>
        </w:tc>
        <w:tc>
          <w:tcPr>
            <w:tcW w:w="0" w:type="auto"/>
            <w:noWrap/>
            <w:hideMark/>
          </w:tcPr>
          <w:p w14:paraId="666E8BA8"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24</w:t>
            </w:r>
          </w:p>
        </w:tc>
      </w:tr>
      <w:tr w:rsidR="005000F6" w:rsidRPr="00B3380B" w14:paraId="294878C9" w14:textId="77777777" w:rsidTr="00B3380B">
        <w:trPr>
          <w:trHeight w:val="300"/>
          <w:jc w:val="center"/>
        </w:trPr>
        <w:tc>
          <w:tcPr>
            <w:tcW w:w="0" w:type="auto"/>
            <w:noWrap/>
            <w:hideMark/>
          </w:tcPr>
          <w:p w14:paraId="600F56D9"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3</w:t>
            </w:r>
          </w:p>
        </w:tc>
        <w:tc>
          <w:tcPr>
            <w:tcW w:w="0" w:type="auto"/>
            <w:noWrap/>
            <w:hideMark/>
          </w:tcPr>
          <w:p w14:paraId="4783AD9B"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Subcontractors</w:t>
            </w:r>
          </w:p>
        </w:tc>
        <w:tc>
          <w:tcPr>
            <w:tcW w:w="0" w:type="auto"/>
            <w:noWrap/>
            <w:hideMark/>
          </w:tcPr>
          <w:p w14:paraId="21A7E6EE"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9</w:t>
            </w:r>
          </w:p>
        </w:tc>
        <w:tc>
          <w:tcPr>
            <w:tcW w:w="0" w:type="auto"/>
            <w:noWrap/>
            <w:hideMark/>
          </w:tcPr>
          <w:p w14:paraId="41530736"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18</w:t>
            </w:r>
          </w:p>
        </w:tc>
      </w:tr>
      <w:tr w:rsidR="005000F6" w:rsidRPr="00B3380B" w14:paraId="41D04AE8" w14:textId="77777777" w:rsidTr="00B3380B">
        <w:trPr>
          <w:trHeight w:val="300"/>
          <w:jc w:val="center"/>
        </w:trPr>
        <w:tc>
          <w:tcPr>
            <w:tcW w:w="0" w:type="auto"/>
            <w:noWrap/>
            <w:hideMark/>
          </w:tcPr>
          <w:p w14:paraId="5C4E8C83"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w:t>
            </w:r>
          </w:p>
        </w:tc>
        <w:tc>
          <w:tcPr>
            <w:tcW w:w="0" w:type="auto"/>
            <w:noWrap/>
            <w:hideMark/>
          </w:tcPr>
          <w:p w14:paraId="4C716118"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Procurement Staff</w:t>
            </w:r>
          </w:p>
        </w:tc>
        <w:tc>
          <w:tcPr>
            <w:tcW w:w="0" w:type="auto"/>
            <w:noWrap/>
            <w:hideMark/>
          </w:tcPr>
          <w:p w14:paraId="34A6B7F3"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8</w:t>
            </w:r>
          </w:p>
        </w:tc>
        <w:tc>
          <w:tcPr>
            <w:tcW w:w="0" w:type="auto"/>
            <w:noWrap/>
            <w:hideMark/>
          </w:tcPr>
          <w:p w14:paraId="7AEBC422"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16</w:t>
            </w:r>
          </w:p>
        </w:tc>
      </w:tr>
      <w:tr w:rsidR="005000F6" w:rsidRPr="00B3380B" w14:paraId="27C633E5" w14:textId="77777777" w:rsidTr="00B3380B">
        <w:trPr>
          <w:trHeight w:val="300"/>
          <w:jc w:val="center"/>
        </w:trPr>
        <w:tc>
          <w:tcPr>
            <w:tcW w:w="0" w:type="auto"/>
            <w:noWrap/>
            <w:hideMark/>
          </w:tcPr>
          <w:p w14:paraId="6ED6782D"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5</w:t>
            </w:r>
          </w:p>
        </w:tc>
        <w:tc>
          <w:tcPr>
            <w:tcW w:w="0" w:type="auto"/>
            <w:noWrap/>
            <w:hideMark/>
          </w:tcPr>
          <w:p w14:paraId="34CD44A5"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Material Suppliers</w:t>
            </w:r>
          </w:p>
        </w:tc>
        <w:tc>
          <w:tcPr>
            <w:tcW w:w="0" w:type="auto"/>
            <w:noWrap/>
            <w:hideMark/>
          </w:tcPr>
          <w:p w14:paraId="41CF2FCE"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11</w:t>
            </w:r>
          </w:p>
        </w:tc>
        <w:tc>
          <w:tcPr>
            <w:tcW w:w="0" w:type="auto"/>
            <w:noWrap/>
            <w:hideMark/>
          </w:tcPr>
          <w:p w14:paraId="4469BEB6"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22</w:t>
            </w:r>
          </w:p>
        </w:tc>
      </w:tr>
      <w:tr w:rsidR="005000F6" w:rsidRPr="00B3380B" w14:paraId="3DC60B4F" w14:textId="77777777" w:rsidTr="00B3380B">
        <w:trPr>
          <w:trHeight w:val="300"/>
          <w:jc w:val="center"/>
        </w:trPr>
        <w:tc>
          <w:tcPr>
            <w:tcW w:w="0" w:type="auto"/>
            <w:gridSpan w:val="2"/>
            <w:noWrap/>
            <w:hideMark/>
          </w:tcPr>
          <w:p w14:paraId="14622AE7" w14:textId="74446D1D"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Total</w:t>
            </w:r>
          </w:p>
        </w:tc>
        <w:tc>
          <w:tcPr>
            <w:tcW w:w="0" w:type="auto"/>
            <w:noWrap/>
            <w:hideMark/>
          </w:tcPr>
          <w:p w14:paraId="1514A72D"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50</w:t>
            </w:r>
          </w:p>
        </w:tc>
        <w:tc>
          <w:tcPr>
            <w:tcW w:w="0" w:type="auto"/>
            <w:noWrap/>
            <w:hideMark/>
          </w:tcPr>
          <w:p w14:paraId="545E3938"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100</w:t>
            </w:r>
          </w:p>
        </w:tc>
      </w:tr>
    </w:tbl>
    <w:p w14:paraId="3858DFBD" w14:textId="77777777" w:rsidR="0000008A" w:rsidRDefault="0000008A"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p>
    <w:p w14:paraId="32BEF5A0" w14:textId="7CFE06D4" w:rsidR="00463ACE" w:rsidRPr="00A553EE" w:rsidRDefault="00463ACE"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Judging from the measurement dimensions, reliability and quality aspects, cost efficiency, and timeliness obtained relatively high scores, which shows that SCOR framework-based indicators have become a major focus in supply chain management practices. In addition, the dimensions of flexibility, collaboration, risk management, and sustainability also show high average values, indicating attention to adaptive and long-term aspects of the supply chain management of housing projects.</w:t>
      </w:r>
    </w:p>
    <w:p w14:paraId="7A7463D9" w14:textId="77777777" w:rsidR="00B3380B" w:rsidRDefault="00B3380B" w:rsidP="00F85AAE">
      <w:pPr>
        <w:pBdr>
          <w:top w:val="nil"/>
          <w:left w:val="nil"/>
          <w:bottom w:val="nil"/>
          <w:right w:val="nil"/>
          <w:between w:val="nil"/>
        </w:pBdr>
        <w:spacing w:after="0" w:line="240" w:lineRule="auto"/>
        <w:jc w:val="center"/>
        <w:rPr>
          <w:rFonts w:ascii="Times New Roman" w:eastAsia="Palatino Linotype" w:hAnsi="Times New Roman" w:cs="Times New Roman"/>
          <w:color w:val="000000"/>
          <w:sz w:val="24"/>
          <w:szCs w:val="24"/>
        </w:rPr>
      </w:pPr>
    </w:p>
    <w:p w14:paraId="6075ED6F" w14:textId="1A639C6B" w:rsidR="005000F6" w:rsidRPr="00B3380B" w:rsidRDefault="005000F6" w:rsidP="00F85AAE">
      <w:pPr>
        <w:pBdr>
          <w:top w:val="nil"/>
          <w:left w:val="nil"/>
          <w:bottom w:val="nil"/>
          <w:right w:val="nil"/>
          <w:between w:val="nil"/>
        </w:pBdr>
        <w:spacing w:after="0" w:line="240" w:lineRule="auto"/>
        <w:jc w:val="center"/>
        <w:rPr>
          <w:rFonts w:ascii="Times New Roman" w:eastAsia="Palatino Linotype" w:hAnsi="Times New Roman" w:cs="Times New Roman"/>
          <w:b/>
          <w:bCs/>
          <w:color w:val="000000"/>
          <w:sz w:val="24"/>
          <w:szCs w:val="24"/>
        </w:rPr>
      </w:pPr>
      <w:r w:rsidRPr="00B3380B">
        <w:rPr>
          <w:rFonts w:ascii="Times New Roman" w:eastAsia="Palatino Linotype" w:hAnsi="Times New Roman" w:cs="Times New Roman"/>
          <w:b/>
          <w:bCs/>
          <w:color w:val="000000"/>
          <w:sz w:val="24"/>
          <w:szCs w:val="24"/>
        </w:rPr>
        <w:t>Table 2. Descriptive Statistics of Research Variables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11"/>
        <w:gridCol w:w="3849"/>
        <w:gridCol w:w="566"/>
        <w:gridCol w:w="1889"/>
        <w:gridCol w:w="1127"/>
      </w:tblGrid>
      <w:tr w:rsidR="005000F6" w:rsidRPr="00B3380B" w14:paraId="4CBAA390" w14:textId="77777777" w:rsidTr="00B3380B">
        <w:trPr>
          <w:trHeight w:val="300"/>
          <w:tblHeader/>
          <w:jc w:val="center"/>
        </w:trPr>
        <w:tc>
          <w:tcPr>
            <w:tcW w:w="0" w:type="auto"/>
            <w:noWrap/>
            <w:hideMark/>
          </w:tcPr>
          <w:p w14:paraId="5DA6AE54"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b/>
                <w:bCs/>
                <w:color w:val="000000"/>
                <w:sz w:val="20"/>
                <w:szCs w:val="20"/>
              </w:rPr>
            </w:pPr>
            <w:r w:rsidRPr="00B3380B">
              <w:rPr>
                <w:rFonts w:ascii="Times New Roman" w:eastAsia="Palatino Linotype" w:hAnsi="Times New Roman" w:cs="Times New Roman"/>
                <w:b/>
                <w:bCs/>
                <w:color w:val="000000"/>
                <w:sz w:val="20"/>
                <w:szCs w:val="20"/>
              </w:rPr>
              <w:t>No.</w:t>
            </w:r>
          </w:p>
        </w:tc>
        <w:tc>
          <w:tcPr>
            <w:tcW w:w="0" w:type="auto"/>
            <w:noWrap/>
            <w:hideMark/>
          </w:tcPr>
          <w:p w14:paraId="5E7AA574"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b/>
                <w:bCs/>
                <w:color w:val="000000"/>
                <w:sz w:val="20"/>
                <w:szCs w:val="20"/>
              </w:rPr>
            </w:pPr>
            <w:r w:rsidRPr="00B3380B">
              <w:rPr>
                <w:rFonts w:ascii="Times New Roman" w:eastAsia="Palatino Linotype" w:hAnsi="Times New Roman" w:cs="Times New Roman"/>
                <w:b/>
                <w:bCs/>
                <w:color w:val="000000"/>
                <w:sz w:val="20"/>
                <w:szCs w:val="20"/>
              </w:rPr>
              <w:t>Variable / Dimension</w:t>
            </w:r>
          </w:p>
        </w:tc>
        <w:tc>
          <w:tcPr>
            <w:tcW w:w="0" w:type="auto"/>
            <w:noWrap/>
            <w:hideMark/>
          </w:tcPr>
          <w:p w14:paraId="222A4449"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b/>
                <w:bCs/>
                <w:color w:val="000000"/>
                <w:sz w:val="20"/>
                <w:szCs w:val="20"/>
              </w:rPr>
            </w:pPr>
            <w:r w:rsidRPr="00B3380B">
              <w:rPr>
                <w:rFonts w:ascii="Times New Roman" w:eastAsia="Palatino Linotype" w:hAnsi="Times New Roman" w:cs="Times New Roman"/>
                <w:b/>
                <w:bCs/>
                <w:color w:val="000000"/>
                <w:sz w:val="20"/>
                <w:szCs w:val="20"/>
              </w:rPr>
              <w:t>Red</w:t>
            </w:r>
          </w:p>
        </w:tc>
        <w:tc>
          <w:tcPr>
            <w:tcW w:w="0" w:type="auto"/>
            <w:noWrap/>
            <w:hideMark/>
          </w:tcPr>
          <w:p w14:paraId="4A8A62A3"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b/>
                <w:bCs/>
                <w:color w:val="000000"/>
                <w:sz w:val="20"/>
                <w:szCs w:val="20"/>
              </w:rPr>
            </w:pPr>
            <w:r w:rsidRPr="00B3380B">
              <w:rPr>
                <w:rFonts w:ascii="Times New Roman" w:eastAsia="Palatino Linotype" w:hAnsi="Times New Roman" w:cs="Times New Roman"/>
                <w:b/>
                <w:bCs/>
                <w:color w:val="000000"/>
                <w:sz w:val="20"/>
                <w:szCs w:val="20"/>
              </w:rPr>
              <w:t>Standard Deviation</w:t>
            </w:r>
          </w:p>
        </w:tc>
        <w:tc>
          <w:tcPr>
            <w:tcW w:w="0" w:type="auto"/>
            <w:noWrap/>
            <w:hideMark/>
          </w:tcPr>
          <w:p w14:paraId="39F6D0F2"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b/>
                <w:bCs/>
                <w:color w:val="000000"/>
                <w:sz w:val="20"/>
                <w:szCs w:val="20"/>
              </w:rPr>
            </w:pPr>
            <w:r w:rsidRPr="00B3380B">
              <w:rPr>
                <w:rFonts w:ascii="Times New Roman" w:eastAsia="Palatino Linotype" w:hAnsi="Times New Roman" w:cs="Times New Roman"/>
                <w:b/>
                <w:bCs/>
                <w:color w:val="000000"/>
                <w:sz w:val="20"/>
                <w:szCs w:val="20"/>
              </w:rPr>
              <w:t>Categories</w:t>
            </w:r>
          </w:p>
        </w:tc>
      </w:tr>
      <w:tr w:rsidR="005000F6" w:rsidRPr="00B3380B" w14:paraId="0579BB17" w14:textId="77777777" w:rsidTr="00B3380B">
        <w:trPr>
          <w:trHeight w:val="300"/>
          <w:jc w:val="center"/>
        </w:trPr>
        <w:tc>
          <w:tcPr>
            <w:tcW w:w="0" w:type="auto"/>
            <w:noWrap/>
            <w:hideMark/>
          </w:tcPr>
          <w:p w14:paraId="2F21A860"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A</w:t>
            </w:r>
          </w:p>
        </w:tc>
        <w:tc>
          <w:tcPr>
            <w:tcW w:w="0" w:type="auto"/>
            <w:noWrap/>
            <w:hideMark/>
          </w:tcPr>
          <w:p w14:paraId="39453548"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Supply Chain Performance Measurement (X)</w:t>
            </w:r>
          </w:p>
        </w:tc>
        <w:tc>
          <w:tcPr>
            <w:tcW w:w="0" w:type="auto"/>
            <w:noWrap/>
            <w:hideMark/>
          </w:tcPr>
          <w:p w14:paraId="2F19CCCB"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4,11</w:t>
            </w:r>
          </w:p>
        </w:tc>
        <w:tc>
          <w:tcPr>
            <w:tcW w:w="0" w:type="auto"/>
            <w:noWrap/>
            <w:hideMark/>
          </w:tcPr>
          <w:p w14:paraId="0BD26616"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0,53</w:t>
            </w:r>
          </w:p>
        </w:tc>
        <w:tc>
          <w:tcPr>
            <w:tcW w:w="0" w:type="auto"/>
            <w:noWrap/>
            <w:hideMark/>
          </w:tcPr>
          <w:p w14:paraId="21A30168"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2C9C8FA2" w14:textId="77777777" w:rsidTr="00B3380B">
        <w:trPr>
          <w:trHeight w:val="300"/>
          <w:jc w:val="center"/>
        </w:trPr>
        <w:tc>
          <w:tcPr>
            <w:tcW w:w="0" w:type="auto"/>
            <w:noWrap/>
            <w:hideMark/>
          </w:tcPr>
          <w:p w14:paraId="2A0B1FB3"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w:t>
            </w:r>
          </w:p>
        </w:tc>
        <w:tc>
          <w:tcPr>
            <w:tcW w:w="0" w:type="auto"/>
            <w:noWrap/>
            <w:hideMark/>
          </w:tcPr>
          <w:p w14:paraId="07CBCE4D"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Cost Efficiency</w:t>
            </w:r>
          </w:p>
        </w:tc>
        <w:tc>
          <w:tcPr>
            <w:tcW w:w="0" w:type="auto"/>
            <w:noWrap/>
            <w:hideMark/>
          </w:tcPr>
          <w:p w14:paraId="30B62342"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4,12</w:t>
            </w:r>
          </w:p>
        </w:tc>
        <w:tc>
          <w:tcPr>
            <w:tcW w:w="0" w:type="auto"/>
            <w:noWrap/>
            <w:hideMark/>
          </w:tcPr>
          <w:p w14:paraId="56737929"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0,55</w:t>
            </w:r>
          </w:p>
        </w:tc>
        <w:tc>
          <w:tcPr>
            <w:tcW w:w="0" w:type="auto"/>
            <w:noWrap/>
            <w:hideMark/>
          </w:tcPr>
          <w:p w14:paraId="26FC0019"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27ECA424" w14:textId="77777777" w:rsidTr="00B3380B">
        <w:trPr>
          <w:trHeight w:val="300"/>
          <w:jc w:val="center"/>
        </w:trPr>
        <w:tc>
          <w:tcPr>
            <w:tcW w:w="0" w:type="auto"/>
            <w:noWrap/>
            <w:hideMark/>
          </w:tcPr>
          <w:p w14:paraId="0D3EF772"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2</w:t>
            </w:r>
          </w:p>
        </w:tc>
        <w:tc>
          <w:tcPr>
            <w:tcW w:w="0" w:type="auto"/>
            <w:noWrap/>
            <w:hideMark/>
          </w:tcPr>
          <w:p w14:paraId="43A78FBB"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Responsiveness</w:t>
            </w:r>
          </w:p>
        </w:tc>
        <w:tc>
          <w:tcPr>
            <w:tcW w:w="0" w:type="auto"/>
            <w:noWrap/>
            <w:hideMark/>
          </w:tcPr>
          <w:p w14:paraId="0E41BF12"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4,14</w:t>
            </w:r>
          </w:p>
        </w:tc>
        <w:tc>
          <w:tcPr>
            <w:tcW w:w="0" w:type="auto"/>
            <w:noWrap/>
            <w:hideMark/>
          </w:tcPr>
          <w:p w14:paraId="0B4BC99E"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0,5</w:t>
            </w:r>
          </w:p>
        </w:tc>
        <w:tc>
          <w:tcPr>
            <w:tcW w:w="0" w:type="auto"/>
            <w:noWrap/>
            <w:hideMark/>
          </w:tcPr>
          <w:p w14:paraId="75826F16"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6401013A" w14:textId="77777777" w:rsidTr="00B3380B">
        <w:trPr>
          <w:trHeight w:val="300"/>
          <w:jc w:val="center"/>
        </w:trPr>
        <w:tc>
          <w:tcPr>
            <w:tcW w:w="0" w:type="auto"/>
            <w:noWrap/>
            <w:hideMark/>
          </w:tcPr>
          <w:p w14:paraId="3C61CA60"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lastRenderedPageBreak/>
              <w:t>3</w:t>
            </w:r>
          </w:p>
        </w:tc>
        <w:tc>
          <w:tcPr>
            <w:tcW w:w="0" w:type="auto"/>
            <w:noWrap/>
            <w:hideMark/>
          </w:tcPr>
          <w:p w14:paraId="0E9DA1CA"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Quality (Reliability-related outcomes)</w:t>
            </w:r>
          </w:p>
        </w:tc>
        <w:tc>
          <w:tcPr>
            <w:tcW w:w="0" w:type="auto"/>
            <w:noWrap/>
            <w:hideMark/>
          </w:tcPr>
          <w:p w14:paraId="50547ED9"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4,18</w:t>
            </w:r>
          </w:p>
        </w:tc>
        <w:tc>
          <w:tcPr>
            <w:tcW w:w="0" w:type="auto"/>
            <w:noWrap/>
            <w:hideMark/>
          </w:tcPr>
          <w:p w14:paraId="54933B13"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0,48</w:t>
            </w:r>
          </w:p>
        </w:tc>
        <w:tc>
          <w:tcPr>
            <w:tcW w:w="0" w:type="auto"/>
            <w:noWrap/>
            <w:hideMark/>
          </w:tcPr>
          <w:p w14:paraId="2F4E257D"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4DD25A25" w14:textId="77777777" w:rsidTr="00B3380B">
        <w:trPr>
          <w:trHeight w:val="300"/>
          <w:jc w:val="center"/>
        </w:trPr>
        <w:tc>
          <w:tcPr>
            <w:tcW w:w="0" w:type="auto"/>
            <w:noWrap/>
            <w:hideMark/>
          </w:tcPr>
          <w:p w14:paraId="1598FF97"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w:t>
            </w:r>
          </w:p>
        </w:tc>
        <w:tc>
          <w:tcPr>
            <w:tcW w:w="0" w:type="auto"/>
            <w:noWrap/>
            <w:hideMark/>
          </w:tcPr>
          <w:p w14:paraId="2991FE73"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Flexibility</w:t>
            </w:r>
          </w:p>
        </w:tc>
        <w:tc>
          <w:tcPr>
            <w:tcW w:w="0" w:type="auto"/>
            <w:noWrap/>
            <w:hideMark/>
          </w:tcPr>
          <w:p w14:paraId="60DB5D43"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4,05</w:t>
            </w:r>
          </w:p>
        </w:tc>
        <w:tc>
          <w:tcPr>
            <w:tcW w:w="0" w:type="auto"/>
            <w:noWrap/>
            <w:hideMark/>
          </w:tcPr>
          <w:p w14:paraId="5A95CB39"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0,56</w:t>
            </w:r>
          </w:p>
        </w:tc>
        <w:tc>
          <w:tcPr>
            <w:tcW w:w="0" w:type="auto"/>
            <w:noWrap/>
            <w:hideMark/>
          </w:tcPr>
          <w:p w14:paraId="3FA23B86"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20D33307" w14:textId="77777777" w:rsidTr="00B3380B">
        <w:trPr>
          <w:trHeight w:val="300"/>
          <w:jc w:val="center"/>
        </w:trPr>
        <w:tc>
          <w:tcPr>
            <w:tcW w:w="0" w:type="auto"/>
            <w:noWrap/>
            <w:hideMark/>
          </w:tcPr>
          <w:p w14:paraId="19D92ED0"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5</w:t>
            </w:r>
          </w:p>
        </w:tc>
        <w:tc>
          <w:tcPr>
            <w:tcW w:w="0" w:type="auto"/>
            <w:noWrap/>
            <w:hideMark/>
          </w:tcPr>
          <w:p w14:paraId="3BE58E38"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Collaboration Between Actors</w:t>
            </w:r>
          </w:p>
        </w:tc>
        <w:tc>
          <w:tcPr>
            <w:tcW w:w="0" w:type="auto"/>
            <w:noWrap/>
            <w:hideMark/>
          </w:tcPr>
          <w:p w14:paraId="708DDE12"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4,1</w:t>
            </w:r>
          </w:p>
        </w:tc>
        <w:tc>
          <w:tcPr>
            <w:tcW w:w="0" w:type="auto"/>
            <w:noWrap/>
            <w:hideMark/>
          </w:tcPr>
          <w:p w14:paraId="0D8D4FAE"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0,52</w:t>
            </w:r>
          </w:p>
        </w:tc>
        <w:tc>
          <w:tcPr>
            <w:tcW w:w="0" w:type="auto"/>
            <w:noWrap/>
            <w:hideMark/>
          </w:tcPr>
          <w:p w14:paraId="0136727F"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5CDF9B43" w14:textId="77777777" w:rsidTr="00B3380B">
        <w:trPr>
          <w:trHeight w:val="300"/>
          <w:jc w:val="center"/>
        </w:trPr>
        <w:tc>
          <w:tcPr>
            <w:tcW w:w="0" w:type="auto"/>
            <w:noWrap/>
            <w:hideMark/>
          </w:tcPr>
          <w:p w14:paraId="6159528F"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6</w:t>
            </w:r>
          </w:p>
        </w:tc>
        <w:tc>
          <w:tcPr>
            <w:tcW w:w="0" w:type="auto"/>
            <w:noWrap/>
            <w:hideMark/>
          </w:tcPr>
          <w:p w14:paraId="3AC11413"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Risk Management</w:t>
            </w:r>
          </w:p>
        </w:tc>
        <w:tc>
          <w:tcPr>
            <w:tcW w:w="0" w:type="auto"/>
            <w:noWrap/>
            <w:hideMark/>
          </w:tcPr>
          <w:p w14:paraId="1C2BF013"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4,08</w:t>
            </w:r>
          </w:p>
        </w:tc>
        <w:tc>
          <w:tcPr>
            <w:tcW w:w="0" w:type="auto"/>
            <w:noWrap/>
            <w:hideMark/>
          </w:tcPr>
          <w:p w14:paraId="5CA5D434"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0,54</w:t>
            </w:r>
          </w:p>
        </w:tc>
        <w:tc>
          <w:tcPr>
            <w:tcW w:w="0" w:type="auto"/>
            <w:noWrap/>
            <w:hideMark/>
          </w:tcPr>
          <w:p w14:paraId="60CABDC8"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0CC90183" w14:textId="77777777" w:rsidTr="00B3380B">
        <w:trPr>
          <w:trHeight w:val="300"/>
          <w:jc w:val="center"/>
        </w:trPr>
        <w:tc>
          <w:tcPr>
            <w:tcW w:w="0" w:type="auto"/>
            <w:noWrap/>
            <w:hideMark/>
          </w:tcPr>
          <w:p w14:paraId="095451FA"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7</w:t>
            </w:r>
          </w:p>
        </w:tc>
        <w:tc>
          <w:tcPr>
            <w:tcW w:w="0" w:type="auto"/>
            <w:noWrap/>
            <w:hideMark/>
          </w:tcPr>
          <w:p w14:paraId="02D9A83C"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Sustainability</w:t>
            </w:r>
          </w:p>
        </w:tc>
        <w:tc>
          <w:tcPr>
            <w:tcW w:w="0" w:type="auto"/>
            <w:noWrap/>
            <w:hideMark/>
          </w:tcPr>
          <w:p w14:paraId="7317B30D"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4,02</w:t>
            </w:r>
          </w:p>
        </w:tc>
        <w:tc>
          <w:tcPr>
            <w:tcW w:w="0" w:type="auto"/>
            <w:noWrap/>
            <w:hideMark/>
          </w:tcPr>
          <w:p w14:paraId="6F3CEED6"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0,57</w:t>
            </w:r>
          </w:p>
        </w:tc>
        <w:tc>
          <w:tcPr>
            <w:tcW w:w="0" w:type="auto"/>
            <w:noWrap/>
            <w:hideMark/>
          </w:tcPr>
          <w:p w14:paraId="0FA374EA"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326203E0" w14:textId="77777777" w:rsidTr="00B3380B">
        <w:trPr>
          <w:trHeight w:val="300"/>
          <w:jc w:val="center"/>
        </w:trPr>
        <w:tc>
          <w:tcPr>
            <w:tcW w:w="0" w:type="auto"/>
            <w:noWrap/>
            <w:hideMark/>
          </w:tcPr>
          <w:p w14:paraId="164BC387"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B</w:t>
            </w:r>
          </w:p>
        </w:tc>
        <w:tc>
          <w:tcPr>
            <w:tcW w:w="0" w:type="auto"/>
            <w:noWrap/>
            <w:hideMark/>
          </w:tcPr>
          <w:p w14:paraId="7398C9B6"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Residential Supply Chain Performance (Y)</w:t>
            </w:r>
          </w:p>
        </w:tc>
        <w:tc>
          <w:tcPr>
            <w:tcW w:w="0" w:type="auto"/>
            <w:noWrap/>
            <w:hideMark/>
          </w:tcPr>
          <w:p w14:paraId="477F49BF"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4,14</w:t>
            </w:r>
          </w:p>
        </w:tc>
        <w:tc>
          <w:tcPr>
            <w:tcW w:w="0" w:type="auto"/>
            <w:noWrap/>
            <w:hideMark/>
          </w:tcPr>
          <w:p w14:paraId="793CFD53"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0,51</w:t>
            </w:r>
          </w:p>
        </w:tc>
        <w:tc>
          <w:tcPr>
            <w:tcW w:w="0" w:type="auto"/>
            <w:noWrap/>
            <w:hideMark/>
          </w:tcPr>
          <w:p w14:paraId="33CF4A4C"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612CA1D6" w14:textId="77777777" w:rsidTr="00B3380B">
        <w:trPr>
          <w:trHeight w:val="300"/>
          <w:jc w:val="center"/>
        </w:trPr>
        <w:tc>
          <w:tcPr>
            <w:tcW w:w="0" w:type="auto"/>
            <w:noWrap/>
            <w:hideMark/>
          </w:tcPr>
          <w:p w14:paraId="753B800A"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8</w:t>
            </w:r>
          </w:p>
        </w:tc>
        <w:tc>
          <w:tcPr>
            <w:tcW w:w="0" w:type="auto"/>
            <w:noWrap/>
            <w:hideMark/>
          </w:tcPr>
          <w:p w14:paraId="06ABED68"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Material Needs Planning</w:t>
            </w:r>
          </w:p>
        </w:tc>
        <w:tc>
          <w:tcPr>
            <w:tcW w:w="0" w:type="auto"/>
            <w:noWrap/>
            <w:hideMark/>
          </w:tcPr>
          <w:p w14:paraId="0CBF664E"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4,2</w:t>
            </w:r>
          </w:p>
        </w:tc>
        <w:tc>
          <w:tcPr>
            <w:tcW w:w="0" w:type="auto"/>
            <w:noWrap/>
            <w:hideMark/>
          </w:tcPr>
          <w:p w14:paraId="25C488AB"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0,46</w:t>
            </w:r>
          </w:p>
        </w:tc>
        <w:tc>
          <w:tcPr>
            <w:tcW w:w="0" w:type="auto"/>
            <w:noWrap/>
            <w:hideMark/>
          </w:tcPr>
          <w:p w14:paraId="7FBBC2C9"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47682663" w14:textId="77777777" w:rsidTr="00B3380B">
        <w:trPr>
          <w:trHeight w:val="300"/>
          <w:jc w:val="center"/>
        </w:trPr>
        <w:tc>
          <w:tcPr>
            <w:tcW w:w="0" w:type="auto"/>
            <w:noWrap/>
            <w:hideMark/>
          </w:tcPr>
          <w:p w14:paraId="084982A9"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9</w:t>
            </w:r>
          </w:p>
        </w:tc>
        <w:tc>
          <w:tcPr>
            <w:tcW w:w="0" w:type="auto"/>
            <w:noWrap/>
            <w:hideMark/>
          </w:tcPr>
          <w:p w14:paraId="072640CD"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Precision Material Procurement</w:t>
            </w:r>
          </w:p>
        </w:tc>
        <w:tc>
          <w:tcPr>
            <w:tcW w:w="0" w:type="auto"/>
            <w:noWrap/>
            <w:hideMark/>
          </w:tcPr>
          <w:p w14:paraId="61909CD0"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4,16</w:t>
            </w:r>
          </w:p>
        </w:tc>
        <w:tc>
          <w:tcPr>
            <w:tcW w:w="0" w:type="auto"/>
            <w:noWrap/>
            <w:hideMark/>
          </w:tcPr>
          <w:p w14:paraId="03DCB514"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0,49</w:t>
            </w:r>
          </w:p>
        </w:tc>
        <w:tc>
          <w:tcPr>
            <w:tcW w:w="0" w:type="auto"/>
            <w:noWrap/>
            <w:hideMark/>
          </w:tcPr>
          <w:p w14:paraId="451B67C1"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49318391" w14:textId="77777777" w:rsidTr="00B3380B">
        <w:trPr>
          <w:trHeight w:val="300"/>
          <w:jc w:val="center"/>
        </w:trPr>
        <w:tc>
          <w:tcPr>
            <w:tcW w:w="0" w:type="auto"/>
            <w:noWrap/>
            <w:hideMark/>
          </w:tcPr>
          <w:p w14:paraId="0195848D"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10</w:t>
            </w:r>
          </w:p>
        </w:tc>
        <w:tc>
          <w:tcPr>
            <w:tcW w:w="0" w:type="auto"/>
            <w:noWrap/>
            <w:hideMark/>
          </w:tcPr>
          <w:p w14:paraId="600ACDDE"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Material Specification Conformity</w:t>
            </w:r>
          </w:p>
        </w:tc>
        <w:tc>
          <w:tcPr>
            <w:tcW w:w="0" w:type="auto"/>
            <w:noWrap/>
            <w:hideMark/>
          </w:tcPr>
          <w:p w14:paraId="1988A3C8"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4,18</w:t>
            </w:r>
          </w:p>
        </w:tc>
        <w:tc>
          <w:tcPr>
            <w:tcW w:w="0" w:type="auto"/>
            <w:noWrap/>
            <w:hideMark/>
          </w:tcPr>
          <w:p w14:paraId="29FFDE57"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0,47</w:t>
            </w:r>
          </w:p>
        </w:tc>
        <w:tc>
          <w:tcPr>
            <w:tcW w:w="0" w:type="auto"/>
            <w:noWrap/>
            <w:hideMark/>
          </w:tcPr>
          <w:p w14:paraId="5801694D"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3D35D9C0" w14:textId="77777777" w:rsidTr="00B3380B">
        <w:trPr>
          <w:trHeight w:val="300"/>
          <w:jc w:val="center"/>
        </w:trPr>
        <w:tc>
          <w:tcPr>
            <w:tcW w:w="0" w:type="auto"/>
            <w:noWrap/>
            <w:hideMark/>
          </w:tcPr>
          <w:p w14:paraId="0B912E4A"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11</w:t>
            </w:r>
          </w:p>
        </w:tc>
        <w:tc>
          <w:tcPr>
            <w:tcW w:w="0" w:type="auto"/>
            <w:noWrap/>
            <w:hideMark/>
          </w:tcPr>
          <w:p w14:paraId="5BA993D7"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Material Distribution Efficiency</w:t>
            </w:r>
          </w:p>
        </w:tc>
        <w:tc>
          <w:tcPr>
            <w:tcW w:w="0" w:type="auto"/>
            <w:noWrap/>
            <w:hideMark/>
          </w:tcPr>
          <w:p w14:paraId="13997979"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4,1</w:t>
            </w:r>
          </w:p>
        </w:tc>
        <w:tc>
          <w:tcPr>
            <w:tcW w:w="0" w:type="auto"/>
            <w:noWrap/>
            <w:hideMark/>
          </w:tcPr>
          <w:p w14:paraId="01D5CCAF"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0,52</w:t>
            </w:r>
          </w:p>
        </w:tc>
        <w:tc>
          <w:tcPr>
            <w:tcW w:w="0" w:type="auto"/>
            <w:noWrap/>
            <w:hideMark/>
          </w:tcPr>
          <w:p w14:paraId="021A121F"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11A459E3" w14:textId="77777777" w:rsidTr="00B3380B">
        <w:trPr>
          <w:trHeight w:val="300"/>
          <w:jc w:val="center"/>
        </w:trPr>
        <w:tc>
          <w:tcPr>
            <w:tcW w:w="0" w:type="auto"/>
            <w:noWrap/>
            <w:hideMark/>
          </w:tcPr>
          <w:p w14:paraId="55EF64D9"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12</w:t>
            </w:r>
          </w:p>
        </w:tc>
        <w:tc>
          <w:tcPr>
            <w:tcW w:w="0" w:type="auto"/>
            <w:noWrap/>
            <w:hideMark/>
          </w:tcPr>
          <w:p w14:paraId="5BFCC3AE"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Job Productivity</w:t>
            </w:r>
          </w:p>
        </w:tc>
        <w:tc>
          <w:tcPr>
            <w:tcW w:w="0" w:type="auto"/>
            <w:noWrap/>
            <w:hideMark/>
          </w:tcPr>
          <w:p w14:paraId="0AEBC4CE"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4,05</w:t>
            </w:r>
          </w:p>
        </w:tc>
        <w:tc>
          <w:tcPr>
            <w:tcW w:w="0" w:type="auto"/>
            <w:noWrap/>
            <w:hideMark/>
          </w:tcPr>
          <w:p w14:paraId="11E9B71B"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0,55</w:t>
            </w:r>
          </w:p>
        </w:tc>
        <w:tc>
          <w:tcPr>
            <w:tcW w:w="0" w:type="auto"/>
            <w:noWrap/>
            <w:hideMark/>
          </w:tcPr>
          <w:p w14:paraId="4E2236FD"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r w:rsidR="005000F6" w:rsidRPr="00B3380B" w14:paraId="2FD02DAB" w14:textId="77777777" w:rsidTr="00B3380B">
        <w:trPr>
          <w:trHeight w:val="300"/>
          <w:jc w:val="center"/>
        </w:trPr>
        <w:tc>
          <w:tcPr>
            <w:tcW w:w="0" w:type="auto"/>
            <w:noWrap/>
            <w:hideMark/>
          </w:tcPr>
          <w:p w14:paraId="69190200"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13</w:t>
            </w:r>
          </w:p>
        </w:tc>
        <w:tc>
          <w:tcPr>
            <w:tcW w:w="0" w:type="auto"/>
            <w:noWrap/>
            <w:hideMark/>
          </w:tcPr>
          <w:p w14:paraId="7F6E9E1A"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Quality of Construction Work</w:t>
            </w:r>
          </w:p>
        </w:tc>
        <w:tc>
          <w:tcPr>
            <w:tcW w:w="0" w:type="auto"/>
            <w:noWrap/>
            <w:hideMark/>
          </w:tcPr>
          <w:p w14:paraId="51B43F0F"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4,12</w:t>
            </w:r>
          </w:p>
        </w:tc>
        <w:tc>
          <w:tcPr>
            <w:tcW w:w="0" w:type="auto"/>
            <w:noWrap/>
            <w:hideMark/>
          </w:tcPr>
          <w:p w14:paraId="0AE406C8" w14:textId="77777777" w:rsidR="005000F6" w:rsidRPr="00B3380B" w:rsidRDefault="005000F6"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0,5</w:t>
            </w:r>
          </w:p>
        </w:tc>
        <w:tc>
          <w:tcPr>
            <w:tcW w:w="0" w:type="auto"/>
            <w:noWrap/>
            <w:hideMark/>
          </w:tcPr>
          <w:p w14:paraId="68E4E272" w14:textId="77777777" w:rsidR="005000F6" w:rsidRPr="00B3380B" w:rsidRDefault="005000F6"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Height</w:t>
            </w:r>
          </w:p>
        </w:tc>
      </w:tr>
    </w:tbl>
    <w:p w14:paraId="3E1B8712" w14:textId="77777777" w:rsidR="005000F6" w:rsidRPr="00A553EE" w:rsidRDefault="005000F6" w:rsidP="00F85AAE">
      <w:pPr>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p>
    <w:p w14:paraId="208A6A53" w14:textId="0C3DFEB5" w:rsidR="00CB4C91" w:rsidRPr="00A553EE" w:rsidRDefault="00463ACE"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Meanwhile, the Housing Development Supply Chain Performance showed an average value of 4.14 with a standard deviation of 0.51, which is also in the high category. The indicators of material need planning, procurement accuracy, and material specification suitability obtained relatively higher values than other indicators. These findings show that the performance of the supply chain that is felt operationally is well assessed by project actors, especially in aspects directly related to the smooth construction process.</w:t>
      </w:r>
    </w:p>
    <w:p w14:paraId="791DB06A" w14:textId="77777777" w:rsidR="00CB4C91" w:rsidRPr="00A553EE" w:rsidRDefault="00CB4C91" w:rsidP="00F85AAE">
      <w:pPr>
        <w:spacing w:after="0" w:line="240" w:lineRule="auto"/>
        <w:jc w:val="both"/>
        <w:rPr>
          <w:rFonts w:ascii="Times New Roman" w:eastAsia="Palatino Linotype" w:hAnsi="Times New Roman" w:cs="Times New Roman"/>
          <w:color w:val="000000"/>
          <w:sz w:val="24"/>
          <w:szCs w:val="24"/>
        </w:rPr>
      </w:pPr>
    </w:p>
    <w:p w14:paraId="0305D08B" w14:textId="656CC1C2" w:rsidR="00CB4C91" w:rsidRPr="00A553EE" w:rsidRDefault="00CB4C91" w:rsidP="00F85AAE">
      <w:pPr>
        <w:spacing w:after="0" w:line="240" w:lineRule="auto"/>
        <w:jc w:val="both"/>
        <w:rPr>
          <w:rFonts w:ascii="Times New Roman" w:eastAsia="Palatino Linotype" w:hAnsi="Times New Roman" w:cs="Times New Roman"/>
          <w:b/>
          <w:bCs/>
          <w:color w:val="000000"/>
          <w:sz w:val="24"/>
          <w:szCs w:val="24"/>
        </w:rPr>
      </w:pPr>
      <w:r w:rsidRPr="00A553EE">
        <w:rPr>
          <w:rFonts w:ascii="Times New Roman" w:eastAsia="Palatino Linotype" w:hAnsi="Times New Roman" w:cs="Times New Roman"/>
          <w:b/>
          <w:bCs/>
          <w:color w:val="000000"/>
          <w:sz w:val="24"/>
          <w:szCs w:val="24"/>
        </w:rPr>
        <w:t>Instrument Validity and Reliability Tests</w:t>
      </w:r>
    </w:p>
    <w:p w14:paraId="111E05B1" w14:textId="62A90B86" w:rsidR="00CB4C91" w:rsidRPr="00A553EE" w:rsidRDefault="00463ACE"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 xml:space="preserve">The results of the validity test showed that all questionnaire items had correlation coefficients that met the validity criteria, so that they were declared able to measure the construct in question. Reliability tests using Cronbach's Alpha yielded a value of 0.963 for the supply chain performance measurement variable and 0.912 for the residential supply chain performance variable. The high alpha value indicates excellent internal consistency, in accordance with the practice of evaluating the reliability of instruments in quantitative survey research </w:t>
      </w:r>
      <w:r w:rsidR="00035516" w:rsidRPr="00A553EE">
        <w:rPr>
          <w:rFonts w:ascii="Times New Roman" w:eastAsia="Palatino Linotype" w:hAnsi="Times New Roman" w:cs="Times New Roman"/>
          <w:color w:val="000000"/>
          <w:sz w:val="24"/>
          <w:szCs w:val="24"/>
        </w:rPr>
        <w:fldChar w:fldCharType="begin" w:fldLock="1"/>
      </w:r>
      <w:r w:rsidR="00035516" w:rsidRPr="00A553EE">
        <w:rPr>
          <w:rFonts w:ascii="Times New Roman" w:eastAsia="Palatino Linotype" w:hAnsi="Times New Roman" w:cs="Times New Roman"/>
          <w:color w:val="000000"/>
          <w:sz w:val="24"/>
          <w:szCs w:val="24"/>
        </w:rPr>
        <w:instrText>ADDIN CSL_CITATION {"citationItems":[{"id":"ITEM-1","itemData":{"DOI":"10.1186/s12909-021-02986-0","author":[{"dropping-particle":"","family":"Hong","given":"Xiaomei","non-dropping-particle":"","parse-names":false,"suffix":""},{"dropping-particle":"","family":"Li","given":"Yueping","non-dropping-particle":"","parse-names":false,"suffix":""},{"dropping-particle":"","family":"Chen","given":"Zhong","non-dropping-particle":"","parse-names":false,"suffix":""},{"dropping-particle":"","family":"Lai","given":"Yingzhen","non-dropping-particle":"","parse-names":false,"suffix":""},{"dropping-particle":"","family":"Dai","given":"Qinyue","non-dropping-particle":"","parse-names":false,"suffix":""},{"dropping-particle":"","family":"Liang","given":"Wayne H","non-dropping-particle":"","parse-names":false,"suffix":""}],"container-title":"BMC Medical Education","id":"ITEM-1","issue":"1","issued":{"date-parts":[["2021"]]},"title":"Developing a Reliable and Valid Competency Model for Assistant Dentists in China","type":"article-journal","volume":"21"},"uris":["http://www.mendeley.com/documents/?uuid=b22fff3a-b50f-4ab6-8601-6cdd800fcbff"]},{"id":"ITEM-2","itemData":{"DOI":"10.2991/978-94-6463-102-9_133","author":[{"dropping-particle":"","family":"Wang","given":"Kang","non-dropping-particle":"","parse-names":false,"suffix":""}],"id":"ITEM-2","issued":{"date-parts":[["2023"]]},"page":"1292-1296","title":"A Study of Human Resource Management Competency Model Based on Data Science","type":"article-journal"},"uris":["http://www.mendeley.com/documents/?uuid=f90112b3-b89f-40eb-958c-88f8d328188e"]}],"mendeley":{"formattedCitation":"(Hong et al., 2021; K. Wang, 2023)","plainTextFormattedCitation":"(Hong et al., 2021; K. Wang, 2023)","previouslyFormattedCitation":"(Hong et al., 2021; K. Wang, 2023)"},"properties":{"noteIndex":0},"schema":"https://github.com/citation-style-language/schema/raw/master/csl-citation.json"}</w:instrText>
      </w:r>
      <w:r w:rsidR="00035516" w:rsidRPr="00A553EE">
        <w:rPr>
          <w:rFonts w:ascii="Times New Roman" w:eastAsia="Palatino Linotype" w:hAnsi="Times New Roman" w:cs="Times New Roman"/>
          <w:color w:val="000000"/>
          <w:sz w:val="24"/>
          <w:szCs w:val="24"/>
        </w:rPr>
        <w:fldChar w:fldCharType="separate"/>
      </w:r>
      <w:r w:rsidR="00035516" w:rsidRPr="00A553EE">
        <w:rPr>
          <w:rFonts w:ascii="Times New Roman" w:eastAsia="Palatino Linotype" w:hAnsi="Times New Roman" w:cs="Times New Roman"/>
          <w:noProof/>
          <w:color w:val="000000"/>
          <w:sz w:val="24"/>
          <w:szCs w:val="24"/>
        </w:rPr>
        <w:t>(Hong et al., 2021; K. Wang, 2023)</w:t>
      </w:r>
      <w:r w:rsidR="00035516"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w:t>
      </w:r>
    </w:p>
    <w:p w14:paraId="20289E8F" w14:textId="77777777" w:rsidR="00B3380B" w:rsidRDefault="00B3380B" w:rsidP="00F85AAE">
      <w:pPr>
        <w:pBdr>
          <w:top w:val="nil"/>
          <w:left w:val="nil"/>
          <w:bottom w:val="nil"/>
          <w:right w:val="nil"/>
          <w:between w:val="nil"/>
        </w:pBdr>
        <w:spacing w:after="0" w:line="240" w:lineRule="auto"/>
        <w:jc w:val="center"/>
        <w:rPr>
          <w:rFonts w:ascii="Times New Roman" w:eastAsia="Palatino Linotype" w:hAnsi="Times New Roman" w:cs="Times New Roman"/>
          <w:color w:val="000000"/>
          <w:sz w:val="24"/>
          <w:szCs w:val="24"/>
        </w:rPr>
      </w:pPr>
    </w:p>
    <w:p w14:paraId="150FF7F7" w14:textId="4E474B82" w:rsidR="0020508E" w:rsidRPr="00B3380B" w:rsidRDefault="0020508E" w:rsidP="00F85AAE">
      <w:pPr>
        <w:pBdr>
          <w:top w:val="nil"/>
          <w:left w:val="nil"/>
          <w:bottom w:val="nil"/>
          <w:right w:val="nil"/>
          <w:between w:val="nil"/>
        </w:pBdr>
        <w:spacing w:after="0" w:line="240" w:lineRule="auto"/>
        <w:jc w:val="center"/>
        <w:rPr>
          <w:rFonts w:ascii="Times New Roman" w:eastAsia="Palatino Linotype" w:hAnsi="Times New Roman" w:cs="Times New Roman"/>
          <w:b/>
          <w:bCs/>
          <w:color w:val="000000"/>
          <w:sz w:val="24"/>
          <w:szCs w:val="24"/>
        </w:rPr>
      </w:pPr>
      <w:r w:rsidRPr="00B3380B">
        <w:rPr>
          <w:rFonts w:ascii="Times New Roman" w:eastAsia="Palatino Linotype" w:hAnsi="Times New Roman" w:cs="Times New Roman"/>
          <w:b/>
          <w:bCs/>
          <w:color w:val="000000"/>
          <w:sz w:val="24"/>
          <w:szCs w:val="24"/>
        </w:rPr>
        <w:t>Table 3. Results of the Validity and Reliability Test of Research Instruments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07"/>
        <w:gridCol w:w="2024"/>
        <w:gridCol w:w="1385"/>
        <w:gridCol w:w="2303"/>
        <w:gridCol w:w="1470"/>
        <w:gridCol w:w="1237"/>
      </w:tblGrid>
      <w:tr w:rsidR="0020508E" w:rsidRPr="0000008A" w14:paraId="7E6308D7" w14:textId="77777777" w:rsidTr="00B3380B">
        <w:trPr>
          <w:trHeight w:val="300"/>
        </w:trPr>
        <w:tc>
          <w:tcPr>
            <w:tcW w:w="704" w:type="dxa"/>
            <w:noWrap/>
            <w:hideMark/>
          </w:tcPr>
          <w:p w14:paraId="1FDD55B9" w14:textId="77777777" w:rsidR="0020508E" w:rsidRPr="0000008A" w:rsidRDefault="0020508E" w:rsidP="0000008A">
            <w:pPr>
              <w:pBdr>
                <w:top w:val="nil"/>
                <w:left w:val="nil"/>
                <w:bottom w:val="nil"/>
                <w:right w:val="nil"/>
                <w:between w:val="nil"/>
              </w:pBdr>
              <w:jc w:val="center"/>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No.</w:t>
            </w:r>
          </w:p>
        </w:tc>
        <w:tc>
          <w:tcPr>
            <w:tcW w:w="2469" w:type="dxa"/>
            <w:noWrap/>
            <w:hideMark/>
          </w:tcPr>
          <w:p w14:paraId="092E6DFB" w14:textId="77777777" w:rsidR="0020508E" w:rsidRPr="0000008A" w:rsidRDefault="0020508E" w:rsidP="0000008A">
            <w:pPr>
              <w:pBdr>
                <w:top w:val="nil"/>
                <w:left w:val="nil"/>
                <w:bottom w:val="nil"/>
                <w:right w:val="nil"/>
                <w:between w:val="nil"/>
              </w:pBdr>
              <w:jc w:val="center"/>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Variable</w:t>
            </w:r>
          </w:p>
        </w:tc>
        <w:tc>
          <w:tcPr>
            <w:tcW w:w="0" w:type="auto"/>
            <w:noWrap/>
            <w:hideMark/>
          </w:tcPr>
          <w:p w14:paraId="553DEC81" w14:textId="77777777" w:rsidR="0020508E" w:rsidRPr="0000008A" w:rsidRDefault="0020508E" w:rsidP="0000008A">
            <w:pPr>
              <w:pBdr>
                <w:top w:val="nil"/>
                <w:left w:val="nil"/>
                <w:bottom w:val="nil"/>
                <w:right w:val="nil"/>
                <w:between w:val="nil"/>
              </w:pBdr>
              <w:jc w:val="center"/>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Number of Items</w:t>
            </w:r>
          </w:p>
        </w:tc>
        <w:tc>
          <w:tcPr>
            <w:tcW w:w="0" w:type="auto"/>
            <w:noWrap/>
            <w:hideMark/>
          </w:tcPr>
          <w:p w14:paraId="43A70527" w14:textId="77777777" w:rsidR="0020508E" w:rsidRPr="0000008A" w:rsidRDefault="0020508E" w:rsidP="0000008A">
            <w:pPr>
              <w:pBdr>
                <w:top w:val="nil"/>
                <w:left w:val="nil"/>
                <w:bottom w:val="nil"/>
                <w:right w:val="nil"/>
                <w:between w:val="nil"/>
              </w:pBdr>
              <w:jc w:val="center"/>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Item–Total Correlation Range</w:t>
            </w:r>
          </w:p>
        </w:tc>
        <w:tc>
          <w:tcPr>
            <w:tcW w:w="0" w:type="auto"/>
            <w:noWrap/>
            <w:hideMark/>
          </w:tcPr>
          <w:p w14:paraId="797D7F68" w14:textId="77777777" w:rsidR="0020508E" w:rsidRPr="0000008A" w:rsidRDefault="0020508E" w:rsidP="0000008A">
            <w:pPr>
              <w:pBdr>
                <w:top w:val="nil"/>
                <w:left w:val="nil"/>
                <w:bottom w:val="nil"/>
                <w:right w:val="nil"/>
                <w:between w:val="nil"/>
              </w:pBdr>
              <w:jc w:val="center"/>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Cronbach's Alpha</w:t>
            </w:r>
          </w:p>
        </w:tc>
        <w:tc>
          <w:tcPr>
            <w:tcW w:w="0" w:type="auto"/>
            <w:noWrap/>
            <w:hideMark/>
          </w:tcPr>
          <w:p w14:paraId="5E8DBB9B" w14:textId="77777777" w:rsidR="0020508E" w:rsidRPr="0000008A" w:rsidRDefault="0020508E" w:rsidP="0000008A">
            <w:pPr>
              <w:pBdr>
                <w:top w:val="nil"/>
                <w:left w:val="nil"/>
                <w:bottom w:val="nil"/>
                <w:right w:val="nil"/>
                <w:between w:val="nil"/>
              </w:pBdr>
              <w:jc w:val="center"/>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Remarks</w:t>
            </w:r>
          </w:p>
        </w:tc>
      </w:tr>
      <w:tr w:rsidR="0020508E" w:rsidRPr="00B3380B" w14:paraId="4F14B15C" w14:textId="77777777" w:rsidTr="00B3380B">
        <w:trPr>
          <w:trHeight w:val="300"/>
        </w:trPr>
        <w:tc>
          <w:tcPr>
            <w:tcW w:w="704" w:type="dxa"/>
            <w:noWrap/>
            <w:hideMark/>
          </w:tcPr>
          <w:p w14:paraId="385710A6" w14:textId="77777777" w:rsidR="0020508E" w:rsidRPr="00B3380B" w:rsidRDefault="0020508E"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w:t>
            </w:r>
          </w:p>
        </w:tc>
        <w:tc>
          <w:tcPr>
            <w:tcW w:w="2469" w:type="dxa"/>
            <w:noWrap/>
            <w:hideMark/>
          </w:tcPr>
          <w:p w14:paraId="7F26838C" w14:textId="77777777" w:rsidR="0020508E" w:rsidRPr="00B3380B" w:rsidRDefault="0020508E"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Supply Chain Performance Measurement (X)</w:t>
            </w:r>
          </w:p>
        </w:tc>
        <w:tc>
          <w:tcPr>
            <w:tcW w:w="0" w:type="auto"/>
            <w:noWrap/>
            <w:hideMark/>
          </w:tcPr>
          <w:p w14:paraId="03918A7F"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40</w:t>
            </w:r>
          </w:p>
        </w:tc>
        <w:tc>
          <w:tcPr>
            <w:tcW w:w="0" w:type="auto"/>
            <w:noWrap/>
            <w:hideMark/>
          </w:tcPr>
          <w:p w14:paraId="017AEEB3"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0,421 – 0,812</w:t>
            </w:r>
          </w:p>
        </w:tc>
        <w:tc>
          <w:tcPr>
            <w:tcW w:w="0" w:type="auto"/>
            <w:noWrap/>
            <w:hideMark/>
          </w:tcPr>
          <w:p w14:paraId="64240438"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0,963</w:t>
            </w:r>
          </w:p>
        </w:tc>
        <w:tc>
          <w:tcPr>
            <w:tcW w:w="0" w:type="auto"/>
            <w:noWrap/>
            <w:hideMark/>
          </w:tcPr>
          <w:p w14:paraId="54C2C537" w14:textId="77777777" w:rsidR="0020508E" w:rsidRPr="00B3380B" w:rsidRDefault="0020508E"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Highly Reliable</w:t>
            </w:r>
          </w:p>
        </w:tc>
      </w:tr>
      <w:tr w:rsidR="0020508E" w:rsidRPr="00B3380B" w14:paraId="1CFC3FC2" w14:textId="77777777" w:rsidTr="00B3380B">
        <w:trPr>
          <w:trHeight w:val="300"/>
        </w:trPr>
        <w:tc>
          <w:tcPr>
            <w:tcW w:w="704" w:type="dxa"/>
            <w:noWrap/>
            <w:hideMark/>
          </w:tcPr>
          <w:p w14:paraId="67E50337" w14:textId="77777777" w:rsidR="0020508E" w:rsidRPr="00B3380B" w:rsidRDefault="0020508E"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2</w:t>
            </w:r>
          </w:p>
        </w:tc>
        <w:tc>
          <w:tcPr>
            <w:tcW w:w="2469" w:type="dxa"/>
            <w:noWrap/>
            <w:hideMark/>
          </w:tcPr>
          <w:p w14:paraId="57B94B4B" w14:textId="77777777" w:rsidR="0020508E" w:rsidRPr="00B3380B" w:rsidRDefault="0020508E"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Residential Supply Chain Performance (Y)</w:t>
            </w:r>
          </w:p>
        </w:tc>
        <w:tc>
          <w:tcPr>
            <w:tcW w:w="0" w:type="auto"/>
            <w:noWrap/>
            <w:hideMark/>
          </w:tcPr>
          <w:p w14:paraId="7A8A4ED0"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6</w:t>
            </w:r>
          </w:p>
        </w:tc>
        <w:tc>
          <w:tcPr>
            <w:tcW w:w="0" w:type="auto"/>
            <w:noWrap/>
            <w:hideMark/>
          </w:tcPr>
          <w:p w14:paraId="26FE8836"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0,538 – 0,796</w:t>
            </w:r>
          </w:p>
        </w:tc>
        <w:tc>
          <w:tcPr>
            <w:tcW w:w="0" w:type="auto"/>
            <w:noWrap/>
            <w:hideMark/>
          </w:tcPr>
          <w:p w14:paraId="0DBC42D5"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0,912</w:t>
            </w:r>
          </w:p>
        </w:tc>
        <w:tc>
          <w:tcPr>
            <w:tcW w:w="0" w:type="auto"/>
            <w:noWrap/>
            <w:hideMark/>
          </w:tcPr>
          <w:p w14:paraId="0A5C963C" w14:textId="77777777" w:rsidR="0020508E" w:rsidRPr="00B3380B" w:rsidRDefault="0020508E" w:rsidP="00F85AAE">
            <w:pPr>
              <w:pBdr>
                <w:top w:val="nil"/>
                <w:left w:val="nil"/>
                <w:bottom w:val="nil"/>
                <w:right w:val="nil"/>
                <w:between w:val="nil"/>
              </w:pBdr>
              <w:jc w:val="both"/>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Highly Reliable</w:t>
            </w:r>
          </w:p>
        </w:tc>
      </w:tr>
    </w:tbl>
    <w:p w14:paraId="425A5B97" w14:textId="239D587B" w:rsidR="00CB4C91" w:rsidRPr="00A553EE" w:rsidRDefault="0020508E" w:rsidP="00F85AAE">
      <w:pPr>
        <w:pBdr>
          <w:top w:val="nil"/>
          <w:left w:val="nil"/>
          <w:bottom w:val="nil"/>
          <w:right w:val="nil"/>
          <w:between w:val="nil"/>
        </w:pBdr>
        <w:tabs>
          <w:tab w:val="left" w:pos="2679"/>
        </w:tabs>
        <w:spacing w:after="0" w:line="240" w:lineRule="auto"/>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ab/>
      </w:r>
    </w:p>
    <w:p w14:paraId="1F789696" w14:textId="52EA75AC" w:rsidR="00CB4C91" w:rsidRPr="00A553EE" w:rsidRDefault="00CB4C91" w:rsidP="00F85AAE">
      <w:pPr>
        <w:spacing w:after="0" w:line="240" w:lineRule="auto"/>
        <w:jc w:val="both"/>
        <w:rPr>
          <w:rFonts w:ascii="Times New Roman" w:eastAsia="Palatino Linotype" w:hAnsi="Times New Roman" w:cs="Times New Roman"/>
          <w:b/>
          <w:bCs/>
          <w:color w:val="000000"/>
          <w:sz w:val="24"/>
          <w:szCs w:val="24"/>
        </w:rPr>
      </w:pPr>
      <w:r w:rsidRPr="00A553EE">
        <w:rPr>
          <w:rFonts w:ascii="Times New Roman" w:eastAsia="Palatino Linotype" w:hAnsi="Times New Roman" w:cs="Times New Roman"/>
          <w:b/>
          <w:bCs/>
          <w:color w:val="000000"/>
          <w:sz w:val="24"/>
          <w:szCs w:val="24"/>
        </w:rPr>
        <w:t>3.3 Inferential Analysis and Hypothesis Testing</w:t>
      </w:r>
    </w:p>
    <w:p w14:paraId="5D6EE2E0" w14:textId="77777777" w:rsidR="0020508E" w:rsidRDefault="00463ACE"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 xml:space="preserve">Hypothesis testing was carried out using linear regression analysis to assess the relationship between supply chain performance measurement and supply chain performance of housing development. The results of the analysis showed that the measurement of supply chain performance had a positive and significant effect on the performance of the housing supply chain, with a regression coefficient of 0.791 and a significance level of p &lt; 0.001.  The value of the determination coefficient (R² = 0.651) indicates that approximately 65.1% variation in housing supply chain performance can be explained by supply chain performance measurements. </w:t>
      </w:r>
    </w:p>
    <w:p w14:paraId="4E833024" w14:textId="77777777" w:rsidR="0000008A" w:rsidRPr="00A553EE" w:rsidRDefault="0000008A"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p>
    <w:p w14:paraId="373E8F53" w14:textId="5957D230" w:rsidR="0020508E" w:rsidRPr="00B3380B" w:rsidRDefault="0020508E" w:rsidP="00F85AAE">
      <w:pPr>
        <w:pBdr>
          <w:top w:val="nil"/>
          <w:left w:val="nil"/>
          <w:bottom w:val="nil"/>
          <w:right w:val="nil"/>
          <w:between w:val="nil"/>
        </w:pBdr>
        <w:spacing w:after="0" w:line="240" w:lineRule="auto"/>
        <w:jc w:val="center"/>
        <w:rPr>
          <w:rFonts w:ascii="Times New Roman" w:eastAsia="Palatino Linotype" w:hAnsi="Times New Roman" w:cs="Times New Roman"/>
          <w:b/>
          <w:bCs/>
          <w:color w:val="000000"/>
          <w:sz w:val="24"/>
          <w:szCs w:val="24"/>
        </w:rPr>
      </w:pPr>
      <w:r w:rsidRPr="00B3380B">
        <w:rPr>
          <w:rFonts w:ascii="Times New Roman" w:eastAsia="Palatino Linotype" w:hAnsi="Times New Roman" w:cs="Times New Roman"/>
          <w:b/>
          <w:bCs/>
          <w:color w:val="000000"/>
          <w:sz w:val="24"/>
          <w:szCs w:val="24"/>
        </w:rPr>
        <w:lastRenderedPageBreak/>
        <w:t>Table 4. Linear Regression Analysis Results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6"/>
        <w:gridCol w:w="3771"/>
        <w:gridCol w:w="2340"/>
        <w:gridCol w:w="783"/>
        <w:gridCol w:w="1316"/>
      </w:tblGrid>
      <w:tr w:rsidR="0020508E" w:rsidRPr="00B3380B" w14:paraId="04A3812B" w14:textId="77777777" w:rsidTr="00B3380B">
        <w:trPr>
          <w:trHeight w:val="300"/>
        </w:trPr>
        <w:tc>
          <w:tcPr>
            <w:tcW w:w="566" w:type="dxa"/>
            <w:noWrap/>
            <w:hideMark/>
          </w:tcPr>
          <w:p w14:paraId="22EB335C" w14:textId="33A81D16"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Yes</w:t>
            </w:r>
          </w:p>
        </w:tc>
        <w:tc>
          <w:tcPr>
            <w:tcW w:w="3771" w:type="dxa"/>
            <w:noWrap/>
            <w:hideMark/>
          </w:tcPr>
          <w:p w14:paraId="341E1A61"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Independent Variables</w:t>
            </w:r>
          </w:p>
        </w:tc>
        <w:tc>
          <w:tcPr>
            <w:tcW w:w="0" w:type="auto"/>
            <w:noWrap/>
            <w:hideMark/>
          </w:tcPr>
          <w:p w14:paraId="01E6B96F"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Regression Coefficient (β)</w:t>
            </w:r>
          </w:p>
        </w:tc>
        <w:tc>
          <w:tcPr>
            <w:tcW w:w="0" w:type="auto"/>
            <w:noWrap/>
            <w:hideMark/>
          </w:tcPr>
          <w:p w14:paraId="0B6481AA"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t-count</w:t>
            </w:r>
          </w:p>
        </w:tc>
        <w:tc>
          <w:tcPr>
            <w:tcW w:w="0" w:type="auto"/>
            <w:noWrap/>
            <w:hideMark/>
          </w:tcPr>
          <w:p w14:paraId="29CEFBED"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Sig. (p-value)</w:t>
            </w:r>
          </w:p>
        </w:tc>
      </w:tr>
      <w:tr w:rsidR="0020508E" w:rsidRPr="00B3380B" w14:paraId="21CBEED6" w14:textId="77777777" w:rsidTr="00B3380B">
        <w:trPr>
          <w:trHeight w:val="300"/>
        </w:trPr>
        <w:tc>
          <w:tcPr>
            <w:tcW w:w="566" w:type="dxa"/>
            <w:noWrap/>
            <w:hideMark/>
          </w:tcPr>
          <w:p w14:paraId="0F9EFD31"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1</w:t>
            </w:r>
          </w:p>
        </w:tc>
        <w:tc>
          <w:tcPr>
            <w:tcW w:w="3771" w:type="dxa"/>
            <w:noWrap/>
            <w:hideMark/>
          </w:tcPr>
          <w:p w14:paraId="61640339" w14:textId="77777777" w:rsidR="0020508E" w:rsidRPr="00B3380B" w:rsidRDefault="0020508E" w:rsidP="00F85AAE">
            <w:pPr>
              <w:pBdr>
                <w:top w:val="nil"/>
                <w:left w:val="nil"/>
                <w:bottom w:val="nil"/>
                <w:right w:val="nil"/>
                <w:between w:val="nil"/>
              </w:pBd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Supply Chain Performance Measurement (X)</w:t>
            </w:r>
          </w:p>
        </w:tc>
        <w:tc>
          <w:tcPr>
            <w:tcW w:w="0" w:type="auto"/>
            <w:noWrap/>
            <w:hideMark/>
          </w:tcPr>
          <w:p w14:paraId="54DC8FAA"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0,791</w:t>
            </w:r>
          </w:p>
        </w:tc>
        <w:tc>
          <w:tcPr>
            <w:tcW w:w="0" w:type="auto"/>
            <w:noWrap/>
            <w:hideMark/>
          </w:tcPr>
          <w:p w14:paraId="2C8048C5"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9,45</w:t>
            </w:r>
          </w:p>
        </w:tc>
        <w:tc>
          <w:tcPr>
            <w:tcW w:w="0" w:type="auto"/>
            <w:noWrap/>
            <w:hideMark/>
          </w:tcPr>
          <w:p w14:paraId="50748981" w14:textId="77777777" w:rsidR="0020508E" w:rsidRPr="00B3380B" w:rsidRDefault="0020508E" w:rsidP="00F85AAE">
            <w:pPr>
              <w:pBdr>
                <w:top w:val="nil"/>
                <w:left w:val="nil"/>
                <w:bottom w:val="nil"/>
                <w:right w:val="nil"/>
                <w:between w:val="nil"/>
              </w:pBdr>
              <w:jc w:val="cente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w:t>
            </w:r>
          </w:p>
        </w:tc>
      </w:tr>
    </w:tbl>
    <w:p w14:paraId="7293DFD8" w14:textId="77777777" w:rsidR="0020508E" w:rsidRPr="00A553EE" w:rsidRDefault="0020508E" w:rsidP="00F85AAE">
      <w:pPr>
        <w:pBdr>
          <w:top w:val="nil"/>
          <w:left w:val="nil"/>
          <w:bottom w:val="nil"/>
          <w:right w:val="nil"/>
          <w:between w:val="nil"/>
        </w:pBdr>
        <w:spacing w:after="0" w:line="240" w:lineRule="auto"/>
        <w:rPr>
          <w:rFonts w:ascii="Times New Roman" w:eastAsia="Palatino Linotype" w:hAnsi="Times New Roman" w:cs="Times New Roman"/>
          <w:color w:val="000000"/>
          <w:sz w:val="24"/>
          <w:szCs w:val="24"/>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66"/>
        <w:gridCol w:w="1410"/>
        <w:gridCol w:w="1850"/>
        <w:gridCol w:w="883"/>
        <w:gridCol w:w="705"/>
      </w:tblGrid>
      <w:tr w:rsidR="0020508E" w:rsidRPr="0000008A" w14:paraId="4DAB8CB3" w14:textId="77777777" w:rsidTr="00B3380B">
        <w:trPr>
          <w:trHeight w:val="300"/>
          <w:jc w:val="center"/>
        </w:trPr>
        <w:tc>
          <w:tcPr>
            <w:tcW w:w="0" w:type="auto"/>
            <w:noWrap/>
            <w:hideMark/>
          </w:tcPr>
          <w:p w14:paraId="43CDA076" w14:textId="77777777" w:rsidR="0020508E" w:rsidRPr="0000008A" w:rsidRDefault="0020508E" w:rsidP="00F85AAE">
            <w:pPr>
              <w:pBdr>
                <w:top w:val="nil"/>
                <w:left w:val="nil"/>
                <w:bottom w:val="nil"/>
                <w:right w:val="nil"/>
                <w:between w:val="nil"/>
              </w:pBdr>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R</w:t>
            </w:r>
          </w:p>
        </w:tc>
        <w:tc>
          <w:tcPr>
            <w:tcW w:w="0" w:type="auto"/>
            <w:noWrap/>
            <w:hideMark/>
          </w:tcPr>
          <w:p w14:paraId="4291B24C" w14:textId="77777777" w:rsidR="0020508E" w:rsidRPr="0000008A" w:rsidRDefault="0020508E" w:rsidP="00F85AAE">
            <w:pPr>
              <w:pBdr>
                <w:top w:val="nil"/>
                <w:left w:val="nil"/>
                <w:bottom w:val="nil"/>
                <w:right w:val="nil"/>
                <w:between w:val="nil"/>
              </w:pBdr>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R Square (R²)</w:t>
            </w:r>
          </w:p>
        </w:tc>
        <w:tc>
          <w:tcPr>
            <w:tcW w:w="0" w:type="auto"/>
            <w:noWrap/>
            <w:hideMark/>
          </w:tcPr>
          <w:p w14:paraId="6A71E8DF" w14:textId="77777777" w:rsidR="0020508E" w:rsidRPr="0000008A" w:rsidRDefault="0020508E" w:rsidP="00F85AAE">
            <w:pPr>
              <w:pBdr>
                <w:top w:val="nil"/>
                <w:left w:val="nil"/>
                <w:bottom w:val="nil"/>
                <w:right w:val="nil"/>
                <w:between w:val="nil"/>
              </w:pBdr>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Adjusted R Square</w:t>
            </w:r>
          </w:p>
        </w:tc>
        <w:tc>
          <w:tcPr>
            <w:tcW w:w="0" w:type="auto"/>
            <w:noWrap/>
            <w:hideMark/>
          </w:tcPr>
          <w:p w14:paraId="2EFF95FE" w14:textId="77777777" w:rsidR="0020508E" w:rsidRPr="0000008A" w:rsidRDefault="0020508E" w:rsidP="00F85AAE">
            <w:pPr>
              <w:pBdr>
                <w:top w:val="nil"/>
                <w:left w:val="nil"/>
                <w:bottom w:val="nil"/>
                <w:right w:val="nil"/>
                <w:between w:val="nil"/>
              </w:pBdr>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F-count</w:t>
            </w:r>
          </w:p>
        </w:tc>
        <w:tc>
          <w:tcPr>
            <w:tcW w:w="0" w:type="auto"/>
            <w:noWrap/>
            <w:hideMark/>
          </w:tcPr>
          <w:p w14:paraId="1E2A0917" w14:textId="77777777" w:rsidR="0020508E" w:rsidRPr="0000008A" w:rsidRDefault="0020508E" w:rsidP="00F85AAE">
            <w:pPr>
              <w:pBdr>
                <w:top w:val="nil"/>
                <w:left w:val="nil"/>
                <w:bottom w:val="nil"/>
                <w:right w:val="nil"/>
                <w:between w:val="nil"/>
              </w:pBdr>
              <w:rPr>
                <w:rFonts w:ascii="Times New Roman" w:eastAsia="Palatino Linotype" w:hAnsi="Times New Roman" w:cs="Times New Roman"/>
                <w:b/>
                <w:bCs/>
                <w:color w:val="000000"/>
                <w:sz w:val="20"/>
                <w:szCs w:val="20"/>
              </w:rPr>
            </w:pPr>
            <w:r w:rsidRPr="0000008A">
              <w:rPr>
                <w:rFonts w:ascii="Times New Roman" w:eastAsia="Palatino Linotype" w:hAnsi="Times New Roman" w:cs="Times New Roman"/>
                <w:b/>
                <w:bCs/>
                <w:color w:val="000000"/>
                <w:sz w:val="20"/>
                <w:szCs w:val="20"/>
              </w:rPr>
              <w:t>Sig. F</w:t>
            </w:r>
          </w:p>
        </w:tc>
      </w:tr>
      <w:tr w:rsidR="0020508E" w:rsidRPr="00B3380B" w14:paraId="15A9CD04" w14:textId="77777777" w:rsidTr="00B3380B">
        <w:trPr>
          <w:trHeight w:val="300"/>
          <w:jc w:val="center"/>
        </w:trPr>
        <w:tc>
          <w:tcPr>
            <w:tcW w:w="0" w:type="auto"/>
            <w:noWrap/>
            <w:hideMark/>
          </w:tcPr>
          <w:p w14:paraId="49418498" w14:textId="77777777" w:rsidR="0020508E" w:rsidRPr="00B3380B" w:rsidRDefault="0020508E" w:rsidP="00F85AAE">
            <w:pPr>
              <w:pBdr>
                <w:top w:val="nil"/>
                <w:left w:val="nil"/>
                <w:bottom w:val="nil"/>
                <w:right w:val="nil"/>
                <w:between w:val="nil"/>
              </w:pBd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0,807</w:t>
            </w:r>
          </w:p>
        </w:tc>
        <w:tc>
          <w:tcPr>
            <w:tcW w:w="0" w:type="auto"/>
            <w:noWrap/>
            <w:hideMark/>
          </w:tcPr>
          <w:p w14:paraId="7188A5B0" w14:textId="77777777" w:rsidR="0020508E" w:rsidRPr="00B3380B" w:rsidRDefault="0020508E" w:rsidP="00F85AAE">
            <w:pPr>
              <w:pBdr>
                <w:top w:val="nil"/>
                <w:left w:val="nil"/>
                <w:bottom w:val="nil"/>
                <w:right w:val="nil"/>
                <w:between w:val="nil"/>
              </w:pBd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0,651</w:t>
            </w:r>
          </w:p>
        </w:tc>
        <w:tc>
          <w:tcPr>
            <w:tcW w:w="0" w:type="auto"/>
            <w:noWrap/>
            <w:hideMark/>
          </w:tcPr>
          <w:p w14:paraId="2249556A" w14:textId="77777777" w:rsidR="0020508E" w:rsidRPr="00B3380B" w:rsidRDefault="0020508E" w:rsidP="00F85AAE">
            <w:pPr>
              <w:pBdr>
                <w:top w:val="nil"/>
                <w:left w:val="nil"/>
                <w:bottom w:val="nil"/>
                <w:right w:val="nil"/>
                <w:between w:val="nil"/>
              </w:pBd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0,644</w:t>
            </w:r>
          </w:p>
        </w:tc>
        <w:tc>
          <w:tcPr>
            <w:tcW w:w="0" w:type="auto"/>
            <w:noWrap/>
            <w:hideMark/>
          </w:tcPr>
          <w:p w14:paraId="725E7C60" w14:textId="77777777" w:rsidR="0020508E" w:rsidRPr="00B3380B" w:rsidRDefault="0020508E" w:rsidP="00F85AAE">
            <w:pPr>
              <w:pBdr>
                <w:top w:val="nil"/>
                <w:left w:val="nil"/>
                <w:bottom w:val="nil"/>
                <w:right w:val="nil"/>
                <w:between w:val="nil"/>
              </w:pBd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89,3</w:t>
            </w:r>
          </w:p>
        </w:tc>
        <w:tc>
          <w:tcPr>
            <w:tcW w:w="0" w:type="auto"/>
            <w:noWrap/>
            <w:hideMark/>
          </w:tcPr>
          <w:p w14:paraId="2DD669E9" w14:textId="736DDDB8" w:rsidR="0020508E" w:rsidRPr="00B3380B" w:rsidRDefault="0020508E" w:rsidP="00F85AAE">
            <w:pPr>
              <w:pBdr>
                <w:top w:val="nil"/>
                <w:left w:val="nil"/>
                <w:bottom w:val="nil"/>
                <w:right w:val="nil"/>
                <w:between w:val="nil"/>
              </w:pBdr>
              <w:rPr>
                <w:rFonts w:ascii="Times New Roman" w:eastAsia="Palatino Linotype" w:hAnsi="Times New Roman" w:cs="Times New Roman"/>
                <w:color w:val="000000"/>
                <w:sz w:val="20"/>
                <w:szCs w:val="20"/>
              </w:rPr>
            </w:pPr>
            <w:r w:rsidRPr="00B3380B">
              <w:rPr>
                <w:rFonts w:ascii="Times New Roman" w:eastAsia="Palatino Linotype" w:hAnsi="Times New Roman" w:cs="Times New Roman"/>
                <w:color w:val="000000"/>
                <w:sz w:val="20"/>
                <w:szCs w:val="20"/>
              </w:rPr>
              <w:t>0,000</w:t>
            </w:r>
          </w:p>
        </w:tc>
      </w:tr>
    </w:tbl>
    <w:p w14:paraId="032EE64B" w14:textId="77777777" w:rsidR="0020508E" w:rsidRPr="00A553EE" w:rsidRDefault="0020508E" w:rsidP="00F85AAE">
      <w:pPr>
        <w:pBdr>
          <w:top w:val="nil"/>
          <w:left w:val="nil"/>
          <w:bottom w:val="nil"/>
          <w:right w:val="nil"/>
          <w:between w:val="nil"/>
        </w:pBdr>
        <w:spacing w:after="0" w:line="240" w:lineRule="auto"/>
        <w:rPr>
          <w:rFonts w:ascii="Times New Roman" w:eastAsia="Palatino Linotype" w:hAnsi="Times New Roman" w:cs="Times New Roman"/>
          <w:color w:val="000000"/>
          <w:sz w:val="24"/>
          <w:szCs w:val="24"/>
        </w:rPr>
      </w:pPr>
    </w:p>
    <w:p w14:paraId="563E38D3" w14:textId="66A28039" w:rsidR="00CB4C91" w:rsidRPr="00A553EE" w:rsidRDefault="00463ACE"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color w:val="000000"/>
          <w:sz w:val="24"/>
          <w:szCs w:val="24"/>
        </w:rPr>
      </w:pPr>
      <w:r w:rsidRPr="00A553EE">
        <w:rPr>
          <w:rFonts w:ascii="Times New Roman" w:eastAsia="Palatino Linotype" w:hAnsi="Times New Roman" w:cs="Times New Roman"/>
          <w:color w:val="000000"/>
          <w:sz w:val="24"/>
          <w:szCs w:val="24"/>
        </w:rPr>
        <w:t xml:space="preserve">These findings provide empirical evidence that a more mature and comprehensive performance measurement system is related to improving supply chain performance in residential projects. However, in keeping with the cross-sectional design character, this relationship is interpreted as an inferential association in the direction of the hypothesis, rather than a definitive evidence of experimental causality </w:t>
      </w:r>
      <w:r w:rsidR="00035516" w:rsidRPr="00A553EE">
        <w:rPr>
          <w:rFonts w:ascii="Times New Roman" w:eastAsia="Palatino Linotype" w:hAnsi="Times New Roman" w:cs="Times New Roman"/>
          <w:color w:val="000000"/>
          <w:sz w:val="24"/>
          <w:szCs w:val="24"/>
        </w:rPr>
        <w:fldChar w:fldCharType="begin" w:fldLock="1"/>
      </w:r>
      <w:r w:rsidR="00035516" w:rsidRPr="00A553EE">
        <w:rPr>
          <w:rFonts w:ascii="Times New Roman" w:eastAsia="Palatino Linotype" w:hAnsi="Times New Roman" w:cs="Times New Roman"/>
          <w:color w:val="000000"/>
          <w:sz w:val="24"/>
          <w:szCs w:val="24"/>
        </w:rPr>
        <w:instrText>ADDIN CSL_CITATION {"citationItems":[{"id":"ITEM-1","itemData":{"DOI":"10.3389/fragi.2024.1284694","author":[{"dropping-particle":"","family":"Choudhury","given":"Renoa","non-dropping-particle":"","parse-names":false,"suffix":""},{"dropping-particle":"","family":"Park","given":"Joon‐Hyuk","non-dropping-particle":"","parse-names":false,"suffix":""},{"dropping-particle":"","family":"Banarjee","given":"Chitra","non-dropping-particle":"","parse-names":false,"suffix":""},{"dropping-particle":"","family":"Coca","given":"Miguel G","non-dropping-particle":"","parse-names":false,"suffix":""},{"dropping-particle":"","family":"Fukuda","given":"David H","non-dropping-particle":"","parse-names":false,"suffix":""},{"dropping-particle":"","family":"Xie","given":"Rui","non-dropping-particle":"","parse-names":false,"suffix":""},{"dropping-particle":"","family":"Stout","given":"Jeffrey R","non-dropping-particle":"","parse-names":false,"suffix":""},{"dropping-particle":"","family":"Thiamwong","given":"Ladda","non-dropping-particle":"","parse-names":false,"suffix":""}],"container-title":"Frontiers in Aging","id":"ITEM-1","issued":{"date-parts":[["2024"]]},"title":"Associations Between Monitor-Independent Movement Summary (MIMS) and Fall Risk Appraisal Combining Fear of Falling and Physiological Fall Risk in Community-Dwelling Older Adults","type":"article-journal","volume":"5"},"uris":["http://www.mendeley.com/documents/?uuid=0dc93f4f-9582-4756-9f3e-f216f49c941c"]},{"id":"ITEM-2","itemData":{"DOI":"10.3389/fpubh.2024.1433718","author":[{"dropping-particle":"","family":"Wang","given":"Lingyan","non-dropping-particle":"","parse-names":false,"suffix":""},{"dropping-particle":"","family":"Wang","given":"Qianping","non-dropping-particle":"","parse-names":false,"suffix":""},{"dropping-particle":"","family":"Zhou","given":"Xia","non-dropping-particle":"","parse-names":false,"suffix":""},{"dropping-particle":"","family":"Liu","given":"Huan","non-dropping-particle":"","parse-names":false,"suffix":""}],"container-title":"Frontiers in Public Health","id":"ITEM-2","issued":{"date-parts":[["2024"]]},"title":"Women’s Knowledge, Attitude, and Practice Regarding Cervical Precancerous Lesions: A Cross-Sectional Study in Beijing, China","type":"article-journal","volume":"12"},"uris":["http://www.mendeley.com/documents/?uuid=f049ebe8-9b62-4f0f-b894-8a0236b3ce53"]}],"mendeley":{"formattedCitation":"(Choudhury et al., 2024; Lingyan Wang et al., 2024)","plainTextFormattedCitation":"(Choudhury et al., 2024; Lingyan Wang et al., 2024)","previouslyFormattedCitation":"(Choudhury et al., 2024; Lingyan Wang et al., 2024)"},"properties":{"noteIndex":0},"schema":"https://github.com/citation-style-language/schema/raw/master/csl-citation.json"}</w:instrText>
      </w:r>
      <w:r w:rsidR="00035516" w:rsidRPr="00A553EE">
        <w:rPr>
          <w:rFonts w:ascii="Times New Roman" w:eastAsia="Palatino Linotype" w:hAnsi="Times New Roman" w:cs="Times New Roman"/>
          <w:color w:val="000000"/>
          <w:sz w:val="24"/>
          <w:szCs w:val="24"/>
        </w:rPr>
        <w:fldChar w:fldCharType="separate"/>
      </w:r>
      <w:r w:rsidR="00035516" w:rsidRPr="00A553EE">
        <w:rPr>
          <w:rFonts w:ascii="Times New Roman" w:eastAsia="Palatino Linotype" w:hAnsi="Times New Roman" w:cs="Times New Roman"/>
          <w:noProof/>
          <w:color w:val="000000"/>
          <w:sz w:val="24"/>
          <w:szCs w:val="24"/>
        </w:rPr>
        <w:t>(Choudhury et al., 2024; Lingyan Wang et al., 2024)</w:t>
      </w:r>
      <w:r w:rsidR="00035516" w:rsidRPr="00A553EE">
        <w:rPr>
          <w:rFonts w:ascii="Times New Roman" w:eastAsia="Palatino Linotype" w:hAnsi="Times New Roman" w:cs="Times New Roman"/>
          <w:color w:val="000000"/>
          <w:sz w:val="24"/>
          <w:szCs w:val="24"/>
        </w:rPr>
        <w:fldChar w:fldCharType="end"/>
      </w:r>
      <w:r w:rsidRPr="00A553EE">
        <w:rPr>
          <w:rFonts w:ascii="Times New Roman" w:eastAsia="Palatino Linotype" w:hAnsi="Times New Roman" w:cs="Times New Roman"/>
          <w:color w:val="000000"/>
          <w:sz w:val="24"/>
          <w:szCs w:val="24"/>
        </w:rPr>
        <w:t>.</w:t>
      </w:r>
    </w:p>
    <w:p w14:paraId="51410B9C" w14:textId="73F4F5EE" w:rsidR="00CB4C91" w:rsidRPr="00A553EE" w:rsidRDefault="00CB4C91" w:rsidP="00F85AAE">
      <w:pPr>
        <w:spacing w:after="0" w:line="240" w:lineRule="auto"/>
        <w:jc w:val="both"/>
        <w:rPr>
          <w:rFonts w:ascii="Times New Roman" w:eastAsia="Palatino Linotype" w:hAnsi="Times New Roman" w:cs="Times New Roman"/>
          <w:b/>
          <w:color w:val="000000"/>
          <w:sz w:val="24"/>
          <w:szCs w:val="24"/>
        </w:rPr>
      </w:pPr>
    </w:p>
    <w:p w14:paraId="47675190" w14:textId="103E84D7" w:rsidR="00CB4C91" w:rsidRPr="00A553EE" w:rsidRDefault="00CB4C91" w:rsidP="00F85AAE">
      <w:pPr>
        <w:spacing w:after="0" w:line="240" w:lineRule="auto"/>
        <w:jc w:val="both"/>
        <w:rPr>
          <w:rFonts w:ascii="Times New Roman" w:eastAsia="Palatino Linotype" w:hAnsi="Times New Roman" w:cs="Times New Roman"/>
          <w:b/>
          <w:bCs/>
          <w:sz w:val="24"/>
          <w:szCs w:val="24"/>
        </w:rPr>
      </w:pPr>
      <w:r w:rsidRPr="00A553EE">
        <w:rPr>
          <w:rFonts w:ascii="Times New Roman" w:eastAsia="Palatino Linotype" w:hAnsi="Times New Roman" w:cs="Times New Roman"/>
          <w:b/>
          <w:bCs/>
          <w:sz w:val="24"/>
          <w:szCs w:val="24"/>
        </w:rPr>
        <w:t>Interpretation of Key Findings</w:t>
      </w:r>
    </w:p>
    <w:p w14:paraId="1CC14FA8" w14:textId="153A7BCB" w:rsidR="00DE16B9" w:rsidRPr="00A553EE" w:rsidRDefault="00DE16B9"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sz w:val="24"/>
          <w:szCs w:val="24"/>
        </w:rPr>
      </w:pPr>
      <w:r w:rsidRPr="00A553EE">
        <w:rPr>
          <w:rFonts w:ascii="Times New Roman" w:eastAsia="Palatino Linotype" w:hAnsi="Times New Roman" w:cs="Times New Roman"/>
          <w:sz w:val="24"/>
          <w:szCs w:val="24"/>
        </w:rPr>
        <w:t xml:space="preserve">The results of the study show that a higher rate of implementation of supply chain performance measurement is related to better supply chain performance of housing development. These findings support the view in the literature that performance measurement serves as an evaluation and control mechanism that allows organizations to identify performance gaps as well as formulate systematic improvement measures </w:t>
      </w:r>
      <w:r w:rsidR="00035516" w:rsidRPr="00A553EE">
        <w:rPr>
          <w:rFonts w:ascii="Times New Roman" w:eastAsia="Palatino Linotype" w:hAnsi="Times New Roman" w:cs="Times New Roman"/>
          <w:sz w:val="24"/>
          <w:szCs w:val="24"/>
        </w:rPr>
        <w:fldChar w:fldCharType="begin" w:fldLock="1"/>
      </w:r>
      <w:r w:rsidR="00B12082" w:rsidRPr="00A553EE">
        <w:rPr>
          <w:rFonts w:ascii="Times New Roman" w:eastAsia="Palatino Linotype" w:hAnsi="Times New Roman" w:cs="Times New Roman"/>
          <w:sz w:val="24"/>
          <w:szCs w:val="24"/>
        </w:rPr>
        <w:instrText>ADDIN CSL_CITATION {"citationItems":[{"id":"ITEM-1","itemData":{"DOI":"10.24961/j.tek.ind.pert.2020.30.1.22","author":[{"dropping-particle":"","family":"Hayuningtyas","given":"Maulida","non-dropping-particle":"","parse-names":false,"suffix":""},{"dropping-particle":"","family":"Marimin","given":"Marimin","non-dropping-particle":"","parse-names":false,"suffix":""},{"dropping-particle":"","family":"Yuliasih","given":"Indah","non-dropping-particle":"","parse-names":false,"suffix":""}],"container-title":"j.tek.ind.pert.","id":"ITEM-1","issued":{"date-parts":[["2020"]]},"page":"22-35","title":"Peningkatan Kinerja, Mitigasi Risiko Dan Analisis Kelembagaan Pada Rantai Pasok Cabai Merah Di Kabupaten Garut","type":"article-journal"},"uris":["http://www.mendeley.com/documents/?uuid=bfab6109-2ba4-4ae5-a5f8-6b0c8c37ee13"]},{"id":"ITEM-2","itemData":{"DOI":"10.30742/jisa2012020976","author":[{"dropping-particle":"","family":"Harya","given":"Gyska I","non-dropping-particle":"","parse-names":false,"suffix":""},{"dropping-particle":"","family":"Sudiyarto","given":"Sudiyarto","non-dropping-particle":"","parse-names":false,"suffix":""},{"dropping-particle":"","family":"Santoso","given":"Wahyu","non-dropping-particle":"","parse-names":false,"suffix":""}],"container-title":"Jurnal Ilmiah Sosio Agribis","id":"ITEM-2","issue":"1","issued":{"date-parts":[["2020"]]},"title":"Model Prioritas Untuk Kinerja Rantai Pasok Kakao  Di Jawa Timur, Indonesia","type":"article-journal","volume":"20"},"uris":["http://www.mendeley.com/documents/?uuid=9914754c-b50a-4e3b-b7ab-961ee4f544e1"]}],"mendeley":{"formattedCitation":"(Harya et al., 2020; Hayuningtyas et al., 2020)","plainTextFormattedCitation":"(Harya et al., 2020; Hayuningtyas et al., 2020)","previouslyFormattedCitation":"(Harya et al., 2020; Hayuningtyas et al., 2020)"},"properties":{"noteIndex":0},"schema":"https://github.com/citation-style-language/schema/raw/master/csl-citation.json"}</w:instrText>
      </w:r>
      <w:r w:rsidR="00035516" w:rsidRPr="00A553EE">
        <w:rPr>
          <w:rFonts w:ascii="Times New Roman" w:eastAsia="Palatino Linotype" w:hAnsi="Times New Roman" w:cs="Times New Roman"/>
          <w:sz w:val="24"/>
          <w:szCs w:val="24"/>
        </w:rPr>
        <w:fldChar w:fldCharType="separate"/>
      </w:r>
      <w:r w:rsidR="00035516" w:rsidRPr="00A553EE">
        <w:rPr>
          <w:rFonts w:ascii="Times New Roman" w:eastAsia="Palatino Linotype" w:hAnsi="Times New Roman" w:cs="Times New Roman"/>
          <w:noProof/>
          <w:sz w:val="24"/>
          <w:szCs w:val="24"/>
        </w:rPr>
        <w:t>(Harya et al., 2020; Hayuningtyas et al., 2020)</w:t>
      </w:r>
      <w:r w:rsidR="00035516" w:rsidRPr="00A553EE">
        <w:rPr>
          <w:rFonts w:ascii="Times New Roman" w:eastAsia="Palatino Linotype" w:hAnsi="Times New Roman" w:cs="Times New Roman"/>
          <w:sz w:val="24"/>
          <w:szCs w:val="24"/>
        </w:rPr>
        <w:fldChar w:fldCharType="end"/>
      </w:r>
      <w:r w:rsidRPr="00A553EE">
        <w:rPr>
          <w:rFonts w:ascii="Times New Roman" w:eastAsia="Palatino Linotype" w:hAnsi="Times New Roman" w:cs="Times New Roman"/>
          <w:sz w:val="24"/>
          <w:szCs w:val="24"/>
        </w:rPr>
        <w:t xml:space="preserve">. The measurement dimensions that include cost efficiency, timeliness, quality, flexibility, collaboration, risk management, and sustainability reflect a relatively holistic approach. This approach is in line with the SCOR framework which views supply chain performance as the result of end-to-end process integration and the effectiveness of product, information, and money flows </w:t>
      </w:r>
      <w:r w:rsidR="00B12082" w:rsidRPr="00A553EE">
        <w:rPr>
          <w:rFonts w:ascii="Times New Roman" w:eastAsia="Palatino Linotype" w:hAnsi="Times New Roman" w:cs="Times New Roman"/>
          <w:sz w:val="24"/>
          <w:szCs w:val="24"/>
        </w:rPr>
        <w:fldChar w:fldCharType="begin" w:fldLock="1"/>
      </w:r>
      <w:r w:rsidR="00B12082" w:rsidRPr="00A553EE">
        <w:rPr>
          <w:rFonts w:ascii="Times New Roman" w:eastAsia="Palatino Linotype" w:hAnsi="Times New Roman" w:cs="Times New Roman"/>
          <w:sz w:val="24"/>
          <w:szCs w:val="24"/>
        </w:rPr>
        <w:instrText>ADDIN CSL_CITATION {"citationItems":[{"id":"ITEM-1","itemData":{"DOI":"10.12962/j23373539.v9i1.50436","author":[{"dropping-particle":"","family":"Sitorus","given":"Mayshel Y","non-dropping-particle":"","parse-names":false,"suffix":""},{"dropping-particle":"","family":"Baihaqi","given":"Imam","non-dropping-particle":"","parse-names":false,"suffix":""},{"dropping-particle":"","family":"Ardiantono","given":"Dewie S","non-dropping-particle":"","parse-names":false,"suffix":""}],"container-title":"Jurnal Teknik Its","id":"ITEM-1","issue":"1","issued":{"date-parts":[["2020"]]},"title":"Supply Chain Analytics Maturity Model: Sebuah Tinjauan Pustaka","type":"article-journal","volume":"9"},"uris":["http://www.mendeley.com/documents/?uuid=0bceb252-9e2a-4b6a-a982-ff22880015cc"]},{"id":"ITEM-2","itemData":{"DOI":"10.30865/jurikom.v9i2.4014","author":[{"dropping-particle":"","family":"Celina","given":"Jihan S","non-dropping-particle":"","parse-names":false,"suffix":""},{"dropping-particle":"","family":"Kusumawardani","given":"Dwi M","non-dropping-particle":"","parse-names":false,"suffix":""},{"dropping-particle":"","family":"Fathoni","given":"M Y","non-dropping-particle":"","parse-names":false,"suffix":""}],"container-title":"Jurikom (Jurnal Riset Komputer)","id":"ITEM-2","issue":"2","issued":{"date-parts":[["2022"]]},"page":"296","title":"Evaluasi Kinerja Rantai Pasok Perpustakaan Institut Teknologi Telkom Purwokerto Menggunakan Supply Chain Operational Reference (SCOR) Model Berbasis Objective Matrix (OMAX)","type":"article-journal","volume":"9"},"uris":["http://www.mendeley.com/documents/?uuid=084e68f8-d188-4c0e-be4a-f043a878008a"]}],"mendeley":{"formattedCitation":"(Celina et al., 2022; Sitorus et al., 2020)","plainTextFormattedCitation":"(Celina et al., 2022; Sitorus et al., 2020)","previouslyFormattedCitation":"(Celina et al., 2022; Sitorus et al., 2020)"},"properties":{"noteIndex":0},"schema":"https://github.com/citation-style-language/schema/raw/master/csl-citation.json"}</w:instrText>
      </w:r>
      <w:r w:rsidR="00B12082" w:rsidRPr="00A553EE">
        <w:rPr>
          <w:rFonts w:ascii="Times New Roman" w:eastAsia="Palatino Linotype" w:hAnsi="Times New Roman" w:cs="Times New Roman"/>
          <w:sz w:val="24"/>
          <w:szCs w:val="24"/>
        </w:rPr>
        <w:fldChar w:fldCharType="separate"/>
      </w:r>
      <w:r w:rsidR="00B12082" w:rsidRPr="00A553EE">
        <w:rPr>
          <w:rFonts w:ascii="Times New Roman" w:eastAsia="Palatino Linotype" w:hAnsi="Times New Roman" w:cs="Times New Roman"/>
          <w:noProof/>
          <w:sz w:val="24"/>
          <w:szCs w:val="24"/>
        </w:rPr>
        <w:t>(Celina et al., 2022; Sitorus et al., 2020)</w:t>
      </w:r>
      <w:r w:rsidR="00B12082" w:rsidRPr="00A553EE">
        <w:rPr>
          <w:rFonts w:ascii="Times New Roman" w:eastAsia="Palatino Linotype" w:hAnsi="Times New Roman" w:cs="Times New Roman"/>
          <w:sz w:val="24"/>
          <w:szCs w:val="24"/>
        </w:rPr>
        <w:fldChar w:fldCharType="end"/>
      </w:r>
      <w:r w:rsidRPr="00A553EE">
        <w:rPr>
          <w:rFonts w:ascii="Times New Roman" w:eastAsia="Palatino Linotype" w:hAnsi="Times New Roman" w:cs="Times New Roman"/>
          <w:sz w:val="24"/>
          <w:szCs w:val="24"/>
        </w:rPr>
        <w:t>.</w:t>
      </w:r>
    </w:p>
    <w:p w14:paraId="5DEF361C" w14:textId="77777777" w:rsidR="0020508E" w:rsidRPr="00A553EE" w:rsidRDefault="0020508E" w:rsidP="00F85AAE">
      <w:pPr>
        <w:pBdr>
          <w:top w:val="nil"/>
          <w:left w:val="nil"/>
          <w:bottom w:val="nil"/>
          <w:right w:val="nil"/>
          <w:between w:val="nil"/>
        </w:pBdr>
        <w:spacing w:after="0" w:line="240" w:lineRule="auto"/>
        <w:jc w:val="center"/>
        <w:rPr>
          <w:rFonts w:ascii="Times New Roman" w:eastAsia="Palatino Linotype" w:hAnsi="Times New Roman" w:cs="Times New Roman"/>
          <w:color w:val="000000"/>
          <w:sz w:val="24"/>
          <w:szCs w:val="24"/>
        </w:rPr>
      </w:pPr>
      <w:r w:rsidRPr="00A553EE">
        <w:rPr>
          <w:rFonts w:ascii="Times New Roman" w:hAnsi="Times New Roman" w:cs="Times New Roman"/>
          <w:noProof/>
          <w:sz w:val="24"/>
          <w:szCs w:val="24"/>
        </w:rPr>
        <w:drawing>
          <wp:inline distT="0" distB="0" distL="0" distR="0" wp14:anchorId="1E683EBF" wp14:editId="7E50BFA5">
            <wp:extent cx="4224811" cy="2137144"/>
            <wp:effectExtent l="0" t="0" r="4445" b="0"/>
            <wp:docPr id="2030639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456" b="11665"/>
                    <a:stretch>
                      <a:fillRect/>
                    </a:stretch>
                  </pic:blipFill>
                  <pic:spPr bwMode="auto">
                    <a:xfrm>
                      <a:off x="0" y="0"/>
                      <a:ext cx="4247171" cy="2148455"/>
                    </a:xfrm>
                    <a:prstGeom prst="rect">
                      <a:avLst/>
                    </a:prstGeom>
                    <a:noFill/>
                    <a:ln>
                      <a:noFill/>
                    </a:ln>
                    <a:extLst>
                      <a:ext uri="{53640926-AAD7-44D8-BBD7-CCE9431645EC}">
                        <a14:shadowObscured xmlns:a14="http://schemas.microsoft.com/office/drawing/2010/main"/>
                      </a:ext>
                    </a:extLst>
                  </pic:spPr>
                </pic:pic>
              </a:graphicData>
            </a:graphic>
          </wp:inline>
        </w:drawing>
      </w:r>
    </w:p>
    <w:p w14:paraId="3CFBAEA8" w14:textId="77777777" w:rsidR="0020508E" w:rsidRPr="00B3380B" w:rsidRDefault="0020508E" w:rsidP="00F85AAE">
      <w:pPr>
        <w:pBdr>
          <w:top w:val="nil"/>
          <w:left w:val="nil"/>
          <w:bottom w:val="nil"/>
          <w:right w:val="nil"/>
          <w:between w:val="nil"/>
        </w:pBdr>
        <w:spacing w:after="0" w:line="240" w:lineRule="auto"/>
        <w:jc w:val="center"/>
        <w:rPr>
          <w:rFonts w:ascii="Times New Roman" w:eastAsia="Palatino Linotype" w:hAnsi="Times New Roman" w:cs="Times New Roman"/>
          <w:b/>
          <w:bCs/>
          <w:color w:val="000000"/>
          <w:sz w:val="24"/>
          <w:szCs w:val="24"/>
        </w:rPr>
      </w:pPr>
      <w:r w:rsidRPr="00B3380B">
        <w:rPr>
          <w:rFonts w:ascii="Times New Roman" w:eastAsia="Palatino Linotype" w:hAnsi="Times New Roman" w:cs="Times New Roman"/>
          <w:b/>
          <w:bCs/>
          <w:color w:val="000000"/>
          <w:sz w:val="24"/>
          <w:szCs w:val="24"/>
        </w:rPr>
        <w:t>Figure 1. Average Supply Chain Performance Measurement Dimension Score.</w:t>
      </w:r>
    </w:p>
    <w:p w14:paraId="60D5D214" w14:textId="77777777" w:rsidR="00B3380B" w:rsidRDefault="00B3380B"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sz w:val="24"/>
          <w:szCs w:val="24"/>
        </w:rPr>
      </w:pPr>
    </w:p>
    <w:p w14:paraId="6B520656" w14:textId="178B94BD" w:rsidR="00CB4C91" w:rsidRPr="00A553EE" w:rsidRDefault="00DE16B9"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sz w:val="24"/>
          <w:szCs w:val="24"/>
        </w:rPr>
      </w:pPr>
      <w:r w:rsidRPr="00A553EE">
        <w:rPr>
          <w:rFonts w:ascii="Times New Roman" w:eastAsia="Palatino Linotype" w:hAnsi="Times New Roman" w:cs="Times New Roman"/>
          <w:sz w:val="24"/>
          <w:szCs w:val="24"/>
        </w:rPr>
        <w:t>Visualization of the average dimensional score (Figure 1) shows that the dimensions of timeliness and quality occupy a relatively high position, which indicates the attention of the project actors to the aspects of meeting schedules and the reliability of results. This underscores the relevance of SCOR attributes in capturing key issues of housing supply chain performance.</w:t>
      </w:r>
    </w:p>
    <w:p w14:paraId="300C125A" w14:textId="77777777" w:rsidR="00DE16B9" w:rsidRPr="00A553EE" w:rsidRDefault="00DE16B9" w:rsidP="00F85AAE">
      <w:pPr>
        <w:spacing w:after="0" w:line="240" w:lineRule="auto"/>
        <w:jc w:val="both"/>
        <w:rPr>
          <w:rFonts w:ascii="Times New Roman" w:eastAsia="Palatino Linotype" w:hAnsi="Times New Roman" w:cs="Times New Roman"/>
          <w:sz w:val="24"/>
          <w:szCs w:val="24"/>
        </w:rPr>
      </w:pPr>
    </w:p>
    <w:p w14:paraId="44CA06CE" w14:textId="497AE6C6" w:rsidR="00CB4C91" w:rsidRPr="00A553EE" w:rsidRDefault="00CB4C91" w:rsidP="00F85AAE">
      <w:pPr>
        <w:spacing w:after="0" w:line="240" w:lineRule="auto"/>
        <w:jc w:val="both"/>
        <w:rPr>
          <w:rFonts w:ascii="Times New Roman" w:eastAsia="Palatino Linotype" w:hAnsi="Times New Roman" w:cs="Times New Roman"/>
          <w:b/>
          <w:bCs/>
          <w:sz w:val="24"/>
          <w:szCs w:val="24"/>
        </w:rPr>
      </w:pPr>
      <w:r w:rsidRPr="00A553EE">
        <w:rPr>
          <w:rFonts w:ascii="Times New Roman" w:eastAsia="Palatino Linotype" w:hAnsi="Times New Roman" w:cs="Times New Roman"/>
          <w:b/>
          <w:bCs/>
          <w:sz w:val="24"/>
          <w:szCs w:val="24"/>
        </w:rPr>
        <w:t>Performance Measurement as a Strategic Construct</w:t>
      </w:r>
    </w:p>
    <w:p w14:paraId="377CE0B2" w14:textId="14F558C8" w:rsidR="00DE16B9" w:rsidRPr="00A553EE" w:rsidRDefault="00DE16B9"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sz w:val="24"/>
          <w:szCs w:val="24"/>
        </w:rPr>
      </w:pPr>
      <w:r w:rsidRPr="00A553EE">
        <w:rPr>
          <w:rFonts w:ascii="Times New Roman" w:eastAsia="Palatino Linotype" w:hAnsi="Times New Roman" w:cs="Times New Roman"/>
          <w:sz w:val="24"/>
          <w:szCs w:val="24"/>
        </w:rPr>
        <w:t xml:space="preserve">In contrast to most previous studies that position supply chain performance measurement as a purely evaluative or diagnostic tool </w:t>
      </w:r>
      <w:r w:rsidR="00B12082" w:rsidRPr="00A553EE">
        <w:rPr>
          <w:rFonts w:ascii="Times New Roman" w:eastAsia="Palatino Linotype" w:hAnsi="Times New Roman" w:cs="Times New Roman"/>
          <w:sz w:val="24"/>
          <w:szCs w:val="24"/>
        </w:rPr>
        <w:fldChar w:fldCharType="begin" w:fldLock="1"/>
      </w:r>
      <w:r w:rsidR="00B12082" w:rsidRPr="00A553EE">
        <w:rPr>
          <w:rFonts w:ascii="Times New Roman" w:eastAsia="Palatino Linotype" w:hAnsi="Times New Roman" w:cs="Times New Roman"/>
          <w:sz w:val="24"/>
          <w:szCs w:val="24"/>
        </w:rPr>
        <w:instrText>ADDIN CSL_CITATION {"citationItems":[{"id":"ITEM-1","itemData":{"DOI":"10.33373/profis.v8i2.2767","author":[{"dropping-particle":"","family":"Stifany","given":"Nova","non-dropping-particle":"","parse-names":false,"suffix":""},{"dropping-particle":"","family":"Supriyadi","given":"Supriyadi","non-dropping-particle":"","parse-names":false,"suffix":""},{"dropping-particle":"","family":"Shofa","given":"Mohamad J","non-dropping-particle":"","parse-names":false,"suffix":""}],"container-title":"Profisiensi Jurnal Program Studi Teknik Industri","id":"ITEM-1","issue":"2","issued":{"date-parts":[["2020"]]},"page":"94-104","title":"Integrasi ANP Dan OMAX Dalam Pengukuran Kinerja Rantai Pasok Industri Kimia","type":"article-journal","volume":"8"},"uris":["http://www.mendeley.com/documents/?uuid=a48461e6-293c-438b-b5ca-b2a10c4ec522"]},{"id":"ITEM-2","itemData":{"DOI":"10.20961/meister.v1i1.455","author":[{"dropping-particle":"","family":"Hafidz","given":"Hamzah","non-dropping-particle":"","parse-names":false,"suffix":""},{"dropping-particle":"","family":"Rahmawati","given":"Novi R","non-dropping-particle":"","parse-names":false,"suffix":""}],"container-title":"J. Manaj. Bisnis Dan Terap","id":"ITEM-2","issue":"1","issued":{"date-parts":[["2023"]]},"page":"64-74","title":"Pengukuran Kinerja Supply Chain Management Cv. Industri Classica Variasi Menggunakan Metode Scor","type":"article-journal","volume":"1"},"uris":["http://www.mendeley.com/documents/?uuid=f52318f3-4958-4930-9917-3f69dc406976"]}],"mendeley":{"formattedCitation":"(Hafidz &amp; Rahmawati, 2023; Stifany et al., 2020)","plainTextFormattedCitation":"(Hafidz &amp; Rahmawati, 2023; Stifany et al., 2020)","previouslyFormattedCitation":"(Hafidz &amp; Rahmawati, 2023; Stifany et al., 2020)"},"properties":{"noteIndex":0},"schema":"https://github.com/citation-style-language/schema/raw/master/csl-citation.json"}</w:instrText>
      </w:r>
      <w:r w:rsidR="00B12082" w:rsidRPr="00A553EE">
        <w:rPr>
          <w:rFonts w:ascii="Times New Roman" w:eastAsia="Palatino Linotype" w:hAnsi="Times New Roman" w:cs="Times New Roman"/>
          <w:sz w:val="24"/>
          <w:szCs w:val="24"/>
        </w:rPr>
        <w:fldChar w:fldCharType="separate"/>
      </w:r>
      <w:r w:rsidR="00B12082" w:rsidRPr="00A553EE">
        <w:rPr>
          <w:rFonts w:ascii="Times New Roman" w:eastAsia="Palatino Linotype" w:hAnsi="Times New Roman" w:cs="Times New Roman"/>
          <w:noProof/>
          <w:sz w:val="24"/>
          <w:szCs w:val="24"/>
        </w:rPr>
        <w:t>(Hafidz &amp; Rahmawati, 2023; Stifany et al., 2020)</w:t>
      </w:r>
      <w:r w:rsidR="00B12082" w:rsidRPr="00A553EE">
        <w:rPr>
          <w:rFonts w:ascii="Times New Roman" w:eastAsia="Palatino Linotype" w:hAnsi="Times New Roman" w:cs="Times New Roman"/>
          <w:sz w:val="24"/>
          <w:szCs w:val="24"/>
        </w:rPr>
        <w:fldChar w:fldCharType="end"/>
      </w:r>
      <w:r w:rsidRPr="00A553EE">
        <w:rPr>
          <w:rFonts w:ascii="Times New Roman" w:eastAsia="Palatino Linotype" w:hAnsi="Times New Roman" w:cs="Times New Roman"/>
          <w:sz w:val="24"/>
          <w:szCs w:val="24"/>
        </w:rPr>
        <w:t xml:space="preserve">, the results of this study show that performance measurement can be treated as a strategic construct directly related to supply chain performance. The positive relationship </w:t>
      </w:r>
      <w:r w:rsidRPr="00A553EE">
        <w:rPr>
          <w:rFonts w:ascii="Times New Roman" w:eastAsia="Palatino Linotype" w:hAnsi="Times New Roman" w:cs="Times New Roman"/>
          <w:sz w:val="24"/>
          <w:szCs w:val="24"/>
        </w:rPr>
        <w:lastRenderedPageBreak/>
        <w:t>between the performance measurement variables and supply chain performance, visualized through scatter plots and regression lines (Figure 2), reinforces the finding that the more systematic and comprehensive the measurements applied, the better the supply chain performance achieved.</w:t>
      </w:r>
    </w:p>
    <w:p w14:paraId="47EE7949" w14:textId="1C152BB9" w:rsidR="00A826FF" w:rsidRPr="00A553EE" w:rsidRDefault="00A826FF"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sz w:val="24"/>
          <w:szCs w:val="24"/>
        </w:rPr>
      </w:pPr>
      <w:r w:rsidRPr="00A553EE">
        <w:rPr>
          <w:rFonts w:ascii="Times New Roman" w:eastAsia="Palatino Linotype" w:hAnsi="Times New Roman" w:cs="Times New Roman"/>
          <w:sz w:val="24"/>
          <w:szCs w:val="24"/>
        </w:rPr>
        <w:t xml:space="preserve">Although the relationships tested are inferential and cross-sectional data-based, the direction of the relationship consistent with the theory supports the theoretical causality argument in the direction of the hypothesis </w:t>
      </w:r>
      <w:r w:rsidR="00B12082" w:rsidRPr="00A553EE">
        <w:rPr>
          <w:rFonts w:ascii="Times New Roman" w:eastAsia="Palatino Linotype" w:hAnsi="Times New Roman" w:cs="Times New Roman"/>
          <w:sz w:val="24"/>
          <w:szCs w:val="24"/>
        </w:rPr>
        <w:fldChar w:fldCharType="begin" w:fldLock="1"/>
      </w:r>
      <w:r w:rsidR="00B12082" w:rsidRPr="00A553EE">
        <w:rPr>
          <w:rFonts w:ascii="Times New Roman" w:eastAsia="Palatino Linotype" w:hAnsi="Times New Roman" w:cs="Times New Roman"/>
          <w:sz w:val="24"/>
          <w:szCs w:val="24"/>
        </w:rPr>
        <w:instrText>ADDIN CSL_CITATION {"citationItems":[{"id":"ITEM-1","itemData":{"DOI":"10.1177/03063070221080008","author":[{"dropping-particle":"","family":"Kamani","given":"Elham","non-dropping-particle":"","parse-names":false,"suffix":""},{"dropping-particle":"","family":"Kalisz","given":"David","non-dropping-particle":"","parse-names":false,"suffix":""},{"dropping-particle":"","family":"Szyran-Resiak","given":"Agata","non-dropping-particle":"","parse-names":false,"suffix":""}],"container-title":"Journal of General Management","id":"ITEM-1","issue":"4","issued":{"date-parts":[["2023"]]},"page":"370-385","title":"Patients’ Behavioral Intentions Toward Robotic Adoption in Healthcare: An Approach on Apprehension of Embedding Robotics","type":"article-journal","volume":"48"},"uris":["http://www.mendeley.com/documents/?uuid=c36daa95-7e71-4c04-a784-7bebd31d5802"]},{"id":"ITEM-2","itemData":{"DOI":"10.1177/21582440241276182","author":[{"dropping-particle":"","family":"Amani","given":"David","non-dropping-particle":"","parse-names":false,"suffix":""},{"dropping-particle":"","family":"Mfumbilwa","given":"Esther E","non-dropping-particle":"","parse-names":false,"suffix":""}],"container-title":"Sage Open","id":"ITEM-2","issue":"3","issued":{"date-parts":[["2024"]]},"title":"Destination Promotion Videos and Tourism Knowledge: A Road Toward Residents’ Empowerment in Emerging Tourism Destinations","type":"article-journal","volume":"14"},"uris":["http://www.mendeley.com/documents/?uuid=66f4b815-9084-4cdc-954e-d3499537d315"]}],"mendeley":{"formattedCitation":"(Amani &amp; Mfumbilwa, 2024; Kamani et al., 2023)","plainTextFormattedCitation":"(Amani &amp; Mfumbilwa, 2024; Kamani et al., 2023)","previouslyFormattedCitation":"(Amani &amp; Mfumbilwa, 2024; Kamani et al., 2023)"},"properties":{"noteIndex":0},"schema":"https://github.com/citation-style-language/schema/raw/master/csl-citation.json"}</w:instrText>
      </w:r>
      <w:r w:rsidR="00B12082" w:rsidRPr="00A553EE">
        <w:rPr>
          <w:rFonts w:ascii="Times New Roman" w:eastAsia="Palatino Linotype" w:hAnsi="Times New Roman" w:cs="Times New Roman"/>
          <w:sz w:val="24"/>
          <w:szCs w:val="24"/>
        </w:rPr>
        <w:fldChar w:fldCharType="separate"/>
      </w:r>
      <w:r w:rsidR="00B12082" w:rsidRPr="00A553EE">
        <w:rPr>
          <w:rFonts w:ascii="Times New Roman" w:eastAsia="Palatino Linotype" w:hAnsi="Times New Roman" w:cs="Times New Roman"/>
          <w:noProof/>
          <w:sz w:val="24"/>
          <w:szCs w:val="24"/>
        </w:rPr>
        <w:t>(Amani &amp; Mfumbilwa, 2024; Kamani et al., 2023)</w:t>
      </w:r>
      <w:r w:rsidR="00B12082" w:rsidRPr="00A553EE">
        <w:rPr>
          <w:rFonts w:ascii="Times New Roman" w:eastAsia="Palatino Linotype" w:hAnsi="Times New Roman" w:cs="Times New Roman"/>
          <w:sz w:val="24"/>
          <w:szCs w:val="24"/>
        </w:rPr>
        <w:fldChar w:fldCharType="end"/>
      </w:r>
      <w:r w:rsidRPr="00A553EE">
        <w:rPr>
          <w:rFonts w:ascii="Times New Roman" w:eastAsia="Palatino Linotype" w:hAnsi="Times New Roman" w:cs="Times New Roman"/>
          <w:sz w:val="24"/>
          <w:szCs w:val="24"/>
        </w:rPr>
        <w:t>.</w:t>
      </w:r>
    </w:p>
    <w:p w14:paraId="78B54EAD" w14:textId="5E983FC0" w:rsidR="0020508E" w:rsidRPr="00A553EE" w:rsidRDefault="0020508E" w:rsidP="00F85AAE">
      <w:pPr>
        <w:pBdr>
          <w:top w:val="nil"/>
          <w:left w:val="nil"/>
          <w:bottom w:val="nil"/>
          <w:right w:val="nil"/>
          <w:between w:val="nil"/>
        </w:pBdr>
        <w:spacing w:after="0" w:line="240" w:lineRule="auto"/>
        <w:jc w:val="center"/>
        <w:rPr>
          <w:rFonts w:ascii="Times New Roman" w:eastAsia="Palatino Linotype" w:hAnsi="Times New Roman" w:cs="Times New Roman"/>
          <w:sz w:val="24"/>
          <w:szCs w:val="24"/>
        </w:rPr>
      </w:pPr>
      <w:r w:rsidRPr="00A553EE">
        <w:rPr>
          <w:rFonts w:ascii="Times New Roman" w:hAnsi="Times New Roman" w:cs="Times New Roman"/>
          <w:noProof/>
          <w:sz w:val="24"/>
          <w:szCs w:val="24"/>
        </w:rPr>
        <w:drawing>
          <wp:inline distT="0" distB="0" distL="0" distR="0" wp14:anchorId="11D2A12A" wp14:editId="5D17E4E3">
            <wp:extent cx="4016432" cy="2353401"/>
            <wp:effectExtent l="0" t="0" r="3175" b="8890"/>
            <wp:docPr id="20362614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524" b="5584"/>
                    <a:stretch>
                      <a:fillRect/>
                    </a:stretch>
                  </pic:blipFill>
                  <pic:spPr bwMode="auto">
                    <a:xfrm>
                      <a:off x="0" y="0"/>
                      <a:ext cx="4034752" cy="2364135"/>
                    </a:xfrm>
                    <a:prstGeom prst="rect">
                      <a:avLst/>
                    </a:prstGeom>
                    <a:noFill/>
                    <a:ln>
                      <a:noFill/>
                    </a:ln>
                    <a:extLst>
                      <a:ext uri="{53640926-AAD7-44D8-BBD7-CCE9431645EC}">
                        <a14:shadowObscured xmlns:a14="http://schemas.microsoft.com/office/drawing/2010/main"/>
                      </a:ext>
                    </a:extLst>
                  </pic:spPr>
                </pic:pic>
              </a:graphicData>
            </a:graphic>
          </wp:inline>
        </w:drawing>
      </w:r>
    </w:p>
    <w:p w14:paraId="0E6BF3F6" w14:textId="66CA1AAD" w:rsidR="00025B1B" w:rsidRPr="00B3380B" w:rsidRDefault="00025B1B" w:rsidP="00F85AAE">
      <w:pPr>
        <w:pBdr>
          <w:top w:val="nil"/>
          <w:left w:val="nil"/>
          <w:bottom w:val="nil"/>
          <w:right w:val="nil"/>
          <w:between w:val="nil"/>
        </w:pBdr>
        <w:spacing w:after="0" w:line="240" w:lineRule="auto"/>
        <w:jc w:val="center"/>
        <w:rPr>
          <w:rFonts w:ascii="Times New Roman" w:eastAsia="Palatino Linotype" w:hAnsi="Times New Roman" w:cs="Times New Roman"/>
          <w:b/>
          <w:bCs/>
          <w:sz w:val="24"/>
          <w:szCs w:val="24"/>
        </w:rPr>
      </w:pPr>
      <w:r w:rsidRPr="00B3380B">
        <w:rPr>
          <w:rFonts w:ascii="Times New Roman" w:eastAsia="Palatino Linotype" w:hAnsi="Times New Roman" w:cs="Times New Roman"/>
          <w:b/>
          <w:bCs/>
          <w:sz w:val="24"/>
          <w:szCs w:val="24"/>
        </w:rPr>
        <w:t>Figure 2. Scatter Plots X and Y Relationships with Regression Lines</w:t>
      </w:r>
    </w:p>
    <w:p w14:paraId="5C30F1C3" w14:textId="77777777" w:rsidR="00B3380B" w:rsidRDefault="00B3380B" w:rsidP="00F85AAE">
      <w:pPr>
        <w:spacing w:after="0" w:line="240" w:lineRule="auto"/>
        <w:jc w:val="both"/>
        <w:rPr>
          <w:rFonts w:ascii="Times New Roman" w:eastAsia="Palatino Linotype" w:hAnsi="Times New Roman" w:cs="Times New Roman"/>
          <w:b/>
          <w:bCs/>
          <w:sz w:val="24"/>
          <w:szCs w:val="24"/>
        </w:rPr>
      </w:pPr>
    </w:p>
    <w:p w14:paraId="7CD90959" w14:textId="05E924AF" w:rsidR="00CB4C91" w:rsidRPr="00A553EE" w:rsidRDefault="00CB4C91" w:rsidP="00F85AAE">
      <w:pPr>
        <w:spacing w:after="0" w:line="240" w:lineRule="auto"/>
        <w:jc w:val="both"/>
        <w:rPr>
          <w:rFonts w:ascii="Times New Roman" w:eastAsia="Palatino Linotype" w:hAnsi="Times New Roman" w:cs="Times New Roman"/>
          <w:b/>
          <w:bCs/>
          <w:sz w:val="24"/>
          <w:szCs w:val="24"/>
        </w:rPr>
      </w:pPr>
      <w:r w:rsidRPr="00A553EE">
        <w:rPr>
          <w:rFonts w:ascii="Times New Roman" w:eastAsia="Palatino Linotype" w:hAnsi="Times New Roman" w:cs="Times New Roman"/>
          <w:b/>
          <w:bCs/>
          <w:sz w:val="24"/>
          <w:szCs w:val="24"/>
        </w:rPr>
        <w:t>Relevance to the Context of Housing Projects and Implications</w:t>
      </w:r>
    </w:p>
    <w:p w14:paraId="2AFEE380" w14:textId="5A51F885" w:rsidR="00CB4C91" w:rsidRPr="00A553EE" w:rsidRDefault="00A826FF" w:rsidP="00F85AAE">
      <w:pPr>
        <w:pBdr>
          <w:top w:val="nil"/>
          <w:left w:val="nil"/>
          <w:bottom w:val="nil"/>
          <w:right w:val="nil"/>
          <w:between w:val="nil"/>
        </w:pBdr>
        <w:spacing w:after="0" w:line="240" w:lineRule="auto"/>
        <w:ind w:firstLine="720"/>
        <w:jc w:val="both"/>
        <w:rPr>
          <w:rFonts w:ascii="Times New Roman" w:eastAsia="Palatino Linotype" w:hAnsi="Times New Roman" w:cs="Times New Roman"/>
          <w:sz w:val="24"/>
          <w:szCs w:val="24"/>
        </w:rPr>
      </w:pPr>
      <w:r w:rsidRPr="00A553EE">
        <w:rPr>
          <w:rFonts w:ascii="Times New Roman" w:eastAsia="Palatino Linotype" w:hAnsi="Times New Roman" w:cs="Times New Roman"/>
          <w:sz w:val="24"/>
          <w:szCs w:val="24"/>
        </w:rPr>
        <w:t xml:space="preserve">The context of housing projects has distinctive characteristics, such as susceptibility to delays, material and labor cost sensitivity, and building quality and defect issues. The dimensions of timeliness, quality, and risk management and sustainability that obtained relatively high scores suggest that SCOR-based performance measurement is relevant to capture such complexity </w:t>
      </w:r>
      <w:r w:rsidR="00B12082" w:rsidRPr="00A553EE">
        <w:rPr>
          <w:rFonts w:ascii="Times New Roman" w:eastAsia="Palatino Linotype" w:hAnsi="Times New Roman" w:cs="Times New Roman"/>
          <w:sz w:val="24"/>
          <w:szCs w:val="24"/>
        </w:rPr>
        <w:fldChar w:fldCharType="begin" w:fldLock="1"/>
      </w:r>
      <w:r w:rsidR="00B12082" w:rsidRPr="00A553EE">
        <w:rPr>
          <w:rFonts w:ascii="Times New Roman" w:eastAsia="Palatino Linotype" w:hAnsi="Times New Roman" w:cs="Times New Roman"/>
          <w:sz w:val="24"/>
          <w:szCs w:val="24"/>
        </w:rPr>
        <w:instrText>ADDIN CSL_CITATION {"citationItems":[{"id":"ITEM-1","itemData":{"DOI":"10.25181/jppt.v23i4.2930","author":[{"dropping-particle":"","family":"Riantini","given":"Maya","non-dropping-particle":"","parse-names":false,"suffix":""},{"dropping-particle":"","family":"Affandi","given":"Muhammad I","non-dropping-particle":"","parse-names":false,"suffix":""},{"dropping-particle":"","family":"Nur’aini","given":"Lestari G","non-dropping-particle":"","parse-names":false,"suffix":""},{"dropping-particle":"","family":"Kusnandi","given":"Savira A","non-dropping-particle":"","parse-names":false,"suffix":""}],"container-title":"Jurnal Penelitian Pertanian Terapan","id":"ITEM-1","issue":"4","issued":{"date-parts":[["2023"]]},"page":"489-498","title":"Kinerja Rantai Pasok Industri Kopi Bubuk Di Kecamatan Kemiling Kota Bandar Lampung","type":"article-journal","volume":"23"},"uris":["http://www.mendeley.com/documents/?uuid=c725668d-4e22-41f1-8f69-9fc8781a8416"]},{"id":"ITEM-2","itemData":{"DOI":"10.25181/jppt.v23i4.2976","author":[{"dropping-particle":"","family":"Aswat","given":"Jumaratul","non-dropping-particle":"","parse-names":false,"suffix":""},{"dropping-particle":"","family":"Maswadi","given":"Maswadi","non-dropping-particle":"","parse-names":false,"suffix":""},{"dropping-particle":"","family":"Kusrini","given":"Novira","non-dropping-particle":"","parse-names":false,"suffix":""}],"container-title":"Jurnal Penelitian Pertanian Terapan","id":"ITEM-2","issue":"4","issued":{"date-parts":[["2023"]]},"page":"538-546","title":"Efficiency of Robusta Coffee Supply Chain Performance in Kubu Raya Regency, West Kalimantan Province","type":"article-journal","volume":"23"},"uris":["http://www.mendeley.com/documents/?uuid=8c5d8786-c5c6-424d-bf2a-4dd8b4a5826e"]}],"mendeley":{"formattedCitation":"(Aswat et al., 2023; Riantini et al., 2023)","plainTextFormattedCitation":"(Aswat et al., 2023; Riantini et al., 2023)"},"properties":{"noteIndex":0},"schema":"https://github.com/citation-style-language/schema/raw/master/csl-citation.json"}</w:instrText>
      </w:r>
      <w:r w:rsidR="00B12082" w:rsidRPr="00A553EE">
        <w:rPr>
          <w:rFonts w:ascii="Times New Roman" w:eastAsia="Palatino Linotype" w:hAnsi="Times New Roman" w:cs="Times New Roman"/>
          <w:sz w:val="24"/>
          <w:szCs w:val="24"/>
        </w:rPr>
        <w:fldChar w:fldCharType="separate"/>
      </w:r>
      <w:r w:rsidR="00B12082" w:rsidRPr="00A553EE">
        <w:rPr>
          <w:rFonts w:ascii="Times New Roman" w:eastAsia="Palatino Linotype" w:hAnsi="Times New Roman" w:cs="Times New Roman"/>
          <w:noProof/>
          <w:sz w:val="24"/>
          <w:szCs w:val="24"/>
        </w:rPr>
        <w:t>(Aswat et al., 2023; Riantini et al., 2023)</w:t>
      </w:r>
      <w:r w:rsidR="00B12082" w:rsidRPr="00A553EE">
        <w:rPr>
          <w:rFonts w:ascii="Times New Roman" w:eastAsia="Palatino Linotype" w:hAnsi="Times New Roman" w:cs="Times New Roman"/>
          <w:sz w:val="24"/>
          <w:szCs w:val="24"/>
        </w:rPr>
        <w:fldChar w:fldCharType="end"/>
      </w:r>
      <w:r w:rsidRPr="00A553EE">
        <w:rPr>
          <w:rFonts w:ascii="Times New Roman" w:eastAsia="Palatino Linotype" w:hAnsi="Times New Roman" w:cs="Times New Roman"/>
          <w:sz w:val="24"/>
          <w:szCs w:val="24"/>
        </w:rPr>
        <w:t>. Theoretically, this study strengthens the position of SCPM as a strategic variable in the study of construction supply chain management. In practical terms, these findings imply that housing developers and contractors need to integrate supply chain performance measurement systems in a structured manner to support data-driven decision-making and project performance improvement.</w:t>
      </w:r>
    </w:p>
    <w:p w14:paraId="4EB4AE72" w14:textId="77777777" w:rsidR="00CB4C91" w:rsidRPr="00A553EE" w:rsidRDefault="00CB4C91" w:rsidP="00F85AAE">
      <w:pPr>
        <w:pBdr>
          <w:top w:val="nil"/>
          <w:left w:val="nil"/>
          <w:bottom w:val="nil"/>
          <w:right w:val="nil"/>
          <w:between w:val="nil"/>
        </w:pBdr>
        <w:spacing w:after="0" w:line="240" w:lineRule="auto"/>
        <w:ind w:left="283"/>
        <w:jc w:val="both"/>
        <w:rPr>
          <w:rFonts w:ascii="Times New Roman" w:eastAsia="Palatino Linotype" w:hAnsi="Times New Roman" w:cs="Times New Roman"/>
          <w:color w:val="000000"/>
          <w:sz w:val="24"/>
          <w:szCs w:val="24"/>
        </w:rPr>
      </w:pPr>
    </w:p>
    <w:p w14:paraId="04951FA3" w14:textId="77777777" w:rsidR="00CB4C91" w:rsidRPr="00A553EE" w:rsidRDefault="00CB4C91" w:rsidP="00F85AAE">
      <w:pPr>
        <w:pBdr>
          <w:top w:val="nil"/>
          <w:left w:val="nil"/>
          <w:bottom w:val="nil"/>
          <w:right w:val="nil"/>
          <w:between w:val="nil"/>
        </w:pBdr>
        <w:spacing w:after="0" w:line="240" w:lineRule="auto"/>
        <w:jc w:val="both"/>
        <w:rPr>
          <w:rFonts w:ascii="Times New Roman" w:eastAsia="Palatino Linotype" w:hAnsi="Times New Roman" w:cs="Times New Roman"/>
          <w:b/>
          <w:color w:val="000000"/>
          <w:sz w:val="24"/>
          <w:szCs w:val="24"/>
        </w:rPr>
      </w:pPr>
      <w:r w:rsidRPr="00A553EE">
        <w:rPr>
          <w:rFonts w:ascii="Times New Roman" w:eastAsia="Palatino Linotype" w:hAnsi="Times New Roman" w:cs="Times New Roman"/>
          <w:b/>
          <w:color w:val="000000"/>
          <w:sz w:val="24"/>
          <w:szCs w:val="24"/>
        </w:rPr>
        <w:t>CONCLUSION</w:t>
      </w:r>
    </w:p>
    <w:p w14:paraId="7B886884" w14:textId="79E84965" w:rsidR="00A848CC" w:rsidRPr="00A848CC" w:rsidRDefault="00A848CC" w:rsidP="00A848CC">
      <w:pPr>
        <w:pBdr>
          <w:top w:val="nil"/>
          <w:left w:val="nil"/>
          <w:bottom w:val="nil"/>
          <w:right w:val="nil"/>
          <w:between w:val="nil"/>
        </w:pBdr>
        <w:spacing w:after="0" w:line="240" w:lineRule="auto"/>
        <w:ind w:firstLine="567"/>
        <w:jc w:val="both"/>
        <w:rPr>
          <w:rFonts w:ascii="Times New Roman" w:eastAsia="Palatino Linotype" w:hAnsi="Times New Roman" w:cs="Times New Roman"/>
          <w:bCs/>
          <w:color w:val="000000"/>
          <w:sz w:val="24"/>
          <w:szCs w:val="24"/>
        </w:rPr>
      </w:pPr>
      <w:r w:rsidRPr="00A848CC">
        <w:rPr>
          <w:rFonts w:ascii="Times New Roman" w:eastAsia="Palatino Linotype" w:hAnsi="Times New Roman" w:cs="Times New Roman"/>
          <w:bCs/>
          <w:color w:val="000000"/>
          <w:sz w:val="24"/>
          <w:szCs w:val="24"/>
        </w:rPr>
        <w:t>This study aims to analyze the effect of supply chain performance measurement on the performance of the housing development supply chain using an explanatory quantitative approach based on a cross-sectional survey. Based on the results of inferential statistical analysis, this study concludes that supply chain performance measurement has a positive and significant effect on housing supply chain performance. The positive and significant regression coefficient (β = 0.791; p &lt; 0.001) indicates that improvements in the quality and implementation of the supply chain performance measurement system are associated with enhanced performance in housing development supply chains.</w:t>
      </w:r>
    </w:p>
    <w:p w14:paraId="5C59BA6A" w14:textId="1E03267D" w:rsidR="00A826FF" w:rsidRPr="00A553EE" w:rsidRDefault="00A848CC" w:rsidP="00A848CC">
      <w:pPr>
        <w:pBdr>
          <w:top w:val="nil"/>
          <w:left w:val="nil"/>
          <w:bottom w:val="nil"/>
          <w:right w:val="nil"/>
          <w:between w:val="nil"/>
        </w:pBdr>
        <w:spacing w:after="0" w:line="240" w:lineRule="auto"/>
        <w:ind w:firstLine="567"/>
        <w:jc w:val="both"/>
        <w:rPr>
          <w:rFonts w:ascii="Times New Roman" w:eastAsia="Palatino Linotype" w:hAnsi="Times New Roman" w:cs="Times New Roman"/>
          <w:bCs/>
          <w:color w:val="000000"/>
          <w:sz w:val="24"/>
          <w:szCs w:val="24"/>
        </w:rPr>
      </w:pPr>
      <w:r w:rsidRPr="00A848CC">
        <w:rPr>
          <w:rFonts w:ascii="Times New Roman" w:eastAsia="Palatino Linotype" w:hAnsi="Times New Roman" w:cs="Times New Roman"/>
          <w:bCs/>
          <w:color w:val="000000"/>
          <w:sz w:val="24"/>
          <w:szCs w:val="24"/>
        </w:rPr>
        <w:t>The coefficient of determination (R² = 0.651) shows that 65.1% of the variation in housing supply chain performance can be explained by supply chain performance measurement, while the remaining percentage is influenced by other factors outside the research model. These findings provide empirical evidence that performance measurement functions not only as an evaluative tool but also as a strategic construct directly influencing supply chain performance in housing projects</w:t>
      </w:r>
      <w:r w:rsidR="00A826FF" w:rsidRPr="00A553EE">
        <w:rPr>
          <w:rFonts w:ascii="Times New Roman" w:eastAsia="Palatino Linotype" w:hAnsi="Times New Roman" w:cs="Times New Roman"/>
          <w:bCs/>
          <w:color w:val="000000"/>
          <w:sz w:val="24"/>
          <w:szCs w:val="24"/>
        </w:rPr>
        <w:t>.</w:t>
      </w:r>
    </w:p>
    <w:p w14:paraId="4F95C717" w14:textId="59ADE67E" w:rsidR="00CB4C91" w:rsidRDefault="00CB4C91" w:rsidP="00F85AAE">
      <w:pPr>
        <w:pBdr>
          <w:top w:val="nil"/>
          <w:left w:val="nil"/>
          <w:bottom w:val="nil"/>
          <w:right w:val="nil"/>
          <w:between w:val="nil"/>
        </w:pBdr>
        <w:spacing w:after="0" w:line="240" w:lineRule="auto"/>
        <w:ind w:firstLine="567"/>
        <w:jc w:val="both"/>
        <w:rPr>
          <w:rFonts w:ascii="Times New Roman" w:eastAsia="Palatino Linotype" w:hAnsi="Times New Roman" w:cs="Times New Roman"/>
          <w:bCs/>
          <w:color w:val="000000"/>
          <w:sz w:val="24"/>
          <w:szCs w:val="24"/>
        </w:rPr>
      </w:pPr>
    </w:p>
    <w:p w14:paraId="7F705E4A" w14:textId="14DE3A04" w:rsidR="00B3380B" w:rsidRDefault="00B3380B" w:rsidP="00F85AAE">
      <w:pPr>
        <w:pBdr>
          <w:top w:val="nil"/>
          <w:left w:val="nil"/>
          <w:bottom w:val="nil"/>
          <w:right w:val="nil"/>
          <w:between w:val="nil"/>
        </w:pBdr>
        <w:spacing w:after="0" w:line="240" w:lineRule="auto"/>
        <w:ind w:firstLine="567"/>
        <w:jc w:val="both"/>
        <w:rPr>
          <w:rFonts w:ascii="Times New Roman" w:eastAsia="Palatino Linotype" w:hAnsi="Times New Roman" w:cs="Times New Roman"/>
          <w:bCs/>
          <w:color w:val="000000"/>
          <w:sz w:val="24"/>
          <w:szCs w:val="24"/>
        </w:rPr>
      </w:pPr>
    </w:p>
    <w:p w14:paraId="2C646C1E" w14:textId="23948B60" w:rsidR="00B3380B" w:rsidRDefault="00B3380B" w:rsidP="00F85AAE">
      <w:pPr>
        <w:pBdr>
          <w:top w:val="nil"/>
          <w:left w:val="nil"/>
          <w:bottom w:val="nil"/>
          <w:right w:val="nil"/>
          <w:between w:val="nil"/>
        </w:pBdr>
        <w:spacing w:after="0" w:line="240" w:lineRule="auto"/>
        <w:ind w:firstLine="567"/>
        <w:jc w:val="both"/>
        <w:rPr>
          <w:rFonts w:ascii="Times New Roman" w:eastAsia="Palatino Linotype" w:hAnsi="Times New Roman" w:cs="Times New Roman"/>
          <w:bCs/>
          <w:color w:val="000000"/>
          <w:sz w:val="24"/>
          <w:szCs w:val="24"/>
        </w:rPr>
      </w:pPr>
    </w:p>
    <w:p w14:paraId="14B39880" w14:textId="77777777" w:rsidR="00B3380B" w:rsidRPr="00A553EE" w:rsidRDefault="00B3380B" w:rsidP="00F85AAE">
      <w:pPr>
        <w:pBdr>
          <w:top w:val="nil"/>
          <w:left w:val="nil"/>
          <w:bottom w:val="nil"/>
          <w:right w:val="nil"/>
          <w:between w:val="nil"/>
        </w:pBdr>
        <w:spacing w:after="0" w:line="240" w:lineRule="auto"/>
        <w:ind w:firstLine="567"/>
        <w:jc w:val="both"/>
        <w:rPr>
          <w:rFonts w:ascii="Times New Roman" w:eastAsia="Palatino Linotype" w:hAnsi="Times New Roman" w:cs="Times New Roman"/>
          <w:color w:val="000000"/>
          <w:sz w:val="24"/>
          <w:szCs w:val="24"/>
        </w:rPr>
      </w:pPr>
    </w:p>
    <w:p w14:paraId="40039433" w14:textId="4A876C98" w:rsidR="00CB4C91" w:rsidRPr="00A553EE" w:rsidRDefault="00F85AAE" w:rsidP="00F85AAE">
      <w:pPr>
        <w:spacing w:after="0" w:line="240" w:lineRule="auto"/>
        <w:jc w:val="center"/>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REFERENCES</w:t>
      </w:r>
    </w:p>
    <w:p w14:paraId="7196D6D2"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eastAsia="Palatino Linotype" w:hAnsi="Times New Roman" w:cs="Times New Roman"/>
          <w:sz w:val="24"/>
          <w:szCs w:val="24"/>
        </w:rPr>
        <w:fldChar w:fldCharType="begin" w:fldLock="1"/>
      </w:r>
      <w:r w:rsidRPr="00F85AAE">
        <w:rPr>
          <w:rFonts w:ascii="Times New Roman" w:eastAsia="Palatino Linotype" w:hAnsi="Times New Roman" w:cs="Times New Roman"/>
          <w:sz w:val="24"/>
          <w:szCs w:val="24"/>
        </w:rPr>
        <w:instrText xml:space="preserve">ADDIN Mendeley Bibliography CSL_BIBLIOGRAPHY </w:instrText>
      </w:r>
      <w:r w:rsidRPr="00F85AAE">
        <w:rPr>
          <w:rFonts w:ascii="Times New Roman" w:eastAsia="Palatino Linotype" w:hAnsi="Times New Roman" w:cs="Times New Roman"/>
          <w:sz w:val="24"/>
          <w:szCs w:val="24"/>
        </w:rPr>
        <w:fldChar w:fldCharType="separate"/>
      </w:r>
      <w:r w:rsidRPr="00F85AAE">
        <w:rPr>
          <w:rFonts w:ascii="Times New Roman" w:hAnsi="Times New Roman" w:cs="Times New Roman"/>
          <w:noProof/>
          <w:sz w:val="24"/>
          <w:szCs w:val="24"/>
        </w:rPr>
        <w:t xml:space="preserve">Amani, D., &amp; Mfumbilwa, E. E. (2024). Destination Promotion Videos and Tourism Knowledge: A Road Toward Residents’ Empowerment in Emerging Tourism Destinations. </w:t>
      </w:r>
      <w:r w:rsidRPr="00F85AAE">
        <w:rPr>
          <w:rFonts w:ascii="Times New Roman" w:hAnsi="Times New Roman" w:cs="Times New Roman"/>
          <w:i/>
          <w:iCs/>
          <w:noProof/>
          <w:sz w:val="24"/>
          <w:szCs w:val="24"/>
        </w:rPr>
        <w:t>Sage Open</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14</w:t>
      </w:r>
      <w:r w:rsidRPr="00F85AAE">
        <w:rPr>
          <w:rFonts w:ascii="Times New Roman" w:hAnsi="Times New Roman" w:cs="Times New Roman"/>
          <w:noProof/>
          <w:sz w:val="24"/>
          <w:szCs w:val="24"/>
        </w:rPr>
        <w:t>(3). https://doi.org/10.1177/21582440241276182</w:t>
      </w:r>
    </w:p>
    <w:p w14:paraId="42BC2C9A"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Aswat, J., Maswadi, M., &amp; Kusrini, N. (2023). Efficiency of Robusta Coffee Supply Chain Performance in Kubu Raya Regency, West Kalimantan Province. </w:t>
      </w:r>
      <w:r w:rsidRPr="00F85AAE">
        <w:rPr>
          <w:rFonts w:ascii="Times New Roman" w:hAnsi="Times New Roman" w:cs="Times New Roman"/>
          <w:i/>
          <w:iCs/>
          <w:noProof/>
          <w:sz w:val="24"/>
          <w:szCs w:val="24"/>
        </w:rPr>
        <w:t>Jurnal Penelitian Pertanian Terapan</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23</w:t>
      </w:r>
      <w:r w:rsidRPr="00F85AAE">
        <w:rPr>
          <w:rFonts w:ascii="Times New Roman" w:hAnsi="Times New Roman" w:cs="Times New Roman"/>
          <w:noProof/>
          <w:sz w:val="24"/>
          <w:szCs w:val="24"/>
        </w:rPr>
        <w:t>(4), 538–546. https://doi.org/10.25181/jppt.v23i4.2976</w:t>
      </w:r>
    </w:p>
    <w:p w14:paraId="4807E297"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Celina, J. S., Kusumawardani, D. M., &amp; Fathoni, M. Y. (2022). Evaluasi Kinerja Rantai Pasok Perpustakaan Institut Teknologi Telkom Purwokerto Menggunakan Supply Chain Operational Reference (SCOR) Model Berbasis Objective Matrix (OMAX). </w:t>
      </w:r>
      <w:r w:rsidRPr="00F85AAE">
        <w:rPr>
          <w:rFonts w:ascii="Times New Roman" w:hAnsi="Times New Roman" w:cs="Times New Roman"/>
          <w:i/>
          <w:iCs/>
          <w:noProof/>
          <w:sz w:val="24"/>
          <w:szCs w:val="24"/>
        </w:rPr>
        <w:t>Jurikom (Jurnal Riset Komputer)</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9</w:t>
      </w:r>
      <w:r w:rsidRPr="00F85AAE">
        <w:rPr>
          <w:rFonts w:ascii="Times New Roman" w:hAnsi="Times New Roman" w:cs="Times New Roman"/>
          <w:noProof/>
          <w:sz w:val="24"/>
          <w:szCs w:val="24"/>
        </w:rPr>
        <w:t>(2), 296. https://doi.org/10.30865/jurikom.v9i2.4014</w:t>
      </w:r>
    </w:p>
    <w:p w14:paraId="718CA21B"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Choudhury, R., Park, J., Banarjee, C., Coca, M. G., Fukuda, D. H., Xie, R., Stout, J. R., &amp; Thiamwong, L. (2024). Associations Between Monitor-Independent Movement Summary (MIMS) and Fall Risk Appraisal Combining Fear of Falling and Physiological Fall Risk in Community-Dwelling Older Adults. </w:t>
      </w:r>
      <w:r w:rsidRPr="00F85AAE">
        <w:rPr>
          <w:rFonts w:ascii="Times New Roman" w:hAnsi="Times New Roman" w:cs="Times New Roman"/>
          <w:i/>
          <w:iCs/>
          <w:noProof/>
          <w:sz w:val="24"/>
          <w:szCs w:val="24"/>
        </w:rPr>
        <w:t>Frontiers in Aging</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5</w:t>
      </w:r>
      <w:r w:rsidRPr="00F85AAE">
        <w:rPr>
          <w:rFonts w:ascii="Times New Roman" w:hAnsi="Times New Roman" w:cs="Times New Roman"/>
          <w:noProof/>
          <w:sz w:val="24"/>
          <w:szCs w:val="24"/>
        </w:rPr>
        <w:t>. https://doi.org/10.3389/fragi.2024.1284694</w:t>
      </w:r>
    </w:p>
    <w:p w14:paraId="3B33CB30"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Döring, N., Conde, M., Brandenburg, K., Broll, W., Groß, H., Werner, S., &amp; Raake, A. (2022). Can Communication Technologies Reduce Loneliness and Social Isolation in Older People? A Scoping Review of Reviews. </w:t>
      </w:r>
      <w:r w:rsidRPr="00F85AAE">
        <w:rPr>
          <w:rFonts w:ascii="Times New Roman" w:hAnsi="Times New Roman" w:cs="Times New Roman"/>
          <w:i/>
          <w:iCs/>
          <w:noProof/>
          <w:sz w:val="24"/>
          <w:szCs w:val="24"/>
        </w:rPr>
        <w:t>International Journal of Environmental Research and Public Health</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19</w:t>
      </w:r>
      <w:r w:rsidRPr="00F85AAE">
        <w:rPr>
          <w:rFonts w:ascii="Times New Roman" w:hAnsi="Times New Roman" w:cs="Times New Roman"/>
          <w:noProof/>
          <w:sz w:val="24"/>
          <w:szCs w:val="24"/>
        </w:rPr>
        <w:t>(18), 11310. https://doi.org/10.3390/ijerph191811310</w:t>
      </w:r>
    </w:p>
    <w:p w14:paraId="4D06C123"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Firdaus, R. O., Solihin, I., &amp; Iskandar, B. H. (2023). Pengukuran Kinerja Rantai Pasok Cumi-Cumi Di Pt. Xyz PPN Muara Angke Menggunakan Metode Scor. </w:t>
      </w:r>
      <w:r w:rsidRPr="00F85AAE">
        <w:rPr>
          <w:rFonts w:ascii="Times New Roman" w:hAnsi="Times New Roman" w:cs="Times New Roman"/>
          <w:i/>
          <w:iCs/>
          <w:noProof/>
          <w:sz w:val="24"/>
          <w:szCs w:val="24"/>
        </w:rPr>
        <w:t>Albacore Jurnal Penelitian Perikanan Laut</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7</w:t>
      </w:r>
      <w:r w:rsidRPr="00F85AAE">
        <w:rPr>
          <w:rFonts w:ascii="Times New Roman" w:hAnsi="Times New Roman" w:cs="Times New Roman"/>
          <w:noProof/>
          <w:sz w:val="24"/>
          <w:szCs w:val="24"/>
        </w:rPr>
        <w:t>(3), 349–357. https://doi.org/10.29244/core.7.3.349-357</w:t>
      </w:r>
    </w:p>
    <w:p w14:paraId="172C273F"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Hafidz, H., &amp; Rahmawati, N. R. (2023). Pengukuran Kinerja Supply Chain Management Cv. Industri Classica Variasi Menggunakan Metode Scor. </w:t>
      </w:r>
      <w:r w:rsidRPr="00F85AAE">
        <w:rPr>
          <w:rFonts w:ascii="Times New Roman" w:hAnsi="Times New Roman" w:cs="Times New Roman"/>
          <w:i/>
          <w:iCs/>
          <w:noProof/>
          <w:sz w:val="24"/>
          <w:szCs w:val="24"/>
        </w:rPr>
        <w:t>J. Manaj. Bisnis Dan Terap</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1</w:t>
      </w:r>
      <w:r w:rsidRPr="00F85AAE">
        <w:rPr>
          <w:rFonts w:ascii="Times New Roman" w:hAnsi="Times New Roman" w:cs="Times New Roman"/>
          <w:noProof/>
          <w:sz w:val="24"/>
          <w:szCs w:val="24"/>
        </w:rPr>
        <w:t>(1), 64–74. https://doi.org/10.20961/meister.v1i1.455</w:t>
      </w:r>
    </w:p>
    <w:p w14:paraId="13EA52F6"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Harya, G. I., Sudiyarto, S., &amp; Santoso, W. (2020). Model Prioritas Untuk Kinerja Rantai Pasok Kakao  Di Jawa Timur, Indonesia. </w:t>
      </w:r>
      <w:r w:rsidRPr="00F85AAE">
        <w:rPr>
          <w:rFonts w:ascii="Times New Roman" w:hAnsi="Times New Roman" w:cs="Times New Roman"/>
          <w:i/>
          <w:iCs/>
          <w:noProof/>
          <w:sz w:val="24"/>
          <w:szCs w:val="24"/>
        </w:rPr>
        <w:t>Jurnal Ilmiah Sosio Agribis</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20</w:t>
      </w:r>
      <w:r w:rsidRPr="00F85AAE">
        <w:rPr>
          <w:rFonts w:ascii="Times New Roman" w:hAnsi="Times New Roman" w:cs="Times New Roman"/>
          <w:noProof/>
          <w:sz w:val="24"/>
          <w:szCs w:val="24"/>
        </w:rPr>
        <w:t>(1). https://doi.org/10.30742/jisa2012020976</w:t>
      </w:r>
    </w:p>
    <w:p w14:paraId="1F7D6E40"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Hayuningtyas, M., Marimin, M., &amp; Yuliasih, I. (2020). Peningkatan Kinerja, Mitigasi Risiko Dan Analisis Kelembagaan Pada Rantai Pasok Cabai Merah Di Kabupaten Garut. </w:t>
      </w:r>
      <w:r w:rsidRPr="00F85AAE">
        <w:rPr>
          <w:rFonts w:ascii="Times New Roman" w:hAnsi="Times New Roman" w:cs="Times New Roman"/>
          <w:i/>
          <w:iCs/>
          <w:noProof/>
          <w:sz w:val="24"/>
          <w:szCs w:val="24"/>
        </w:rPr>
        <w:t>J.Tek.Ind.Pert.</w:t>
      </w:r>
      <w:r w:rsidRPr="00F85AAE">
        <w:rPr>
          <w:rFonts w:ascii="Times New Roman" w:hAnsi="Times New Roman" w:cs="Times New Roman"/>
          <w:noProof/>
          <w:sz w:val="24"/>
          <w:szCs w:val="24"/>
        </w:rPr>
        <w:t>, 22–35. https://doi.org/10.24961/j.tek.ind.pert.2020.30.1.22</w:t>
      </w:r>
    </w:p>
    <w:p w14:paraId="29FB60A6"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Hong, X., Li, Y., Chen, Z., Lai, Y., Dai, Q., &amp; Liang, W. H. (2021). Developing a Reliable and Valid Competency Model for Assistant Dentists in China. </w:t>
      </w:r>
      <w:r w:rsidRPr="00F85AAE">
        <w:rPr>
          <w:rFonts w:ascii="Times New Roman" w:hAnsi="Times New Roman" w:cs="Times New Roman"/>
          <w:i/>
          <w:iCs/>
          <w:noProof/>
          <w:sz w:val="24"/>
          <w:szCs w:val="24"/>
        </w:rPr>
        <w:t>BMC Medical Education</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21</w:t>
      </w:r>
      <w:r w:rsidRPr="00F85AAE">
        <w:rPr>
          <w:rFonts w:ascii="Times New Roman" w:hAnsi="Times New Roman" w:cs="Times New Roman"/>
          <w:noProof/>
          <w:sz w:val="24"/>
          <w:szCs w:val="24"/>
        </w:rPr>
        <w:t>(1). https://doi.org/10.1186/s12909-021-02986-0</w:t>
      </w:r>
    </w:p>
    <w:p w14:paraId="2BB77A27"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Kamani, E., Kalisz, D., &amp; Szyran-Resiak, A. (2023). Patients’ Behavioral Intentions Toward Robotic Adoption in Healthcare: An Approach on Apprehension of Embedding Robotics. </w:t>
      </w:r>
      <w:r w:rsidRPr="00F85AAE">
        <w:rPr>
          <w:rFonts w:ascii="Times New Roman" w:hAnsi="Times New Roman" w:cs="Times New Roman"/>
          <w:i/>
          <w:iCs/>
          <w:noProof/>
          <w:sz w:val="24"/>
          <w:szCs w:val="24"/>
        </w:rPr>
        <w:t>Journal of General Management</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48</w:t>
      </w:r>
      <w:r w:rsidRPr="00F85AAE">
        <w:rPr>
          <w:rFonts w:ascii="Times New Roman" w:hAnsi="Times New Roman" w:cs="Times New Roman"/>
          <w:noProof/>
          <w:sz w:val="24"/>
          <w:szCs w:val="24"/>
        </w:rPr>
        <w:t>(4), 370–385. https://doi.org/10.1177/03063070221080008</w:t>
      </w:r>
    </w:p>
    <w:p w14:paraId="38D5E656"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Konalingam, K., Thivaakaran, T., Kengatharan, N., Achchuthan, S., Hensman, G. H., &amp; Harishangar, A. (2024). Exploring the Drivers of Pro-Environmental Behavioral Intentions in an Emerging Nation. </w:t>
      </w:r>
      <w:r w:rsidRPr="00F85AAE">
        <w:rPr>
          <w:rFonts w:ascii="Times New Roman" w:hAnsi="Times New Roman" w:cs="Times New Roman"/>
          <w:i/>
          <w:iCs/>
          <w:noProof/>
          <w:sz w:val="24"/>
          <w:szCs w:val="24"/>
        </w:rPr>
        <w:t>Social Responsibility Journal</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20</w:t>
      </w:r>
      <w:r w:rsidRPr="00F85AAE">
        <w:rPr>
          <w:rFonts w:ascii="Times New Roman" w:hAnsi="Times New Roman" w:cs="Times New Roman"/>
          <w:noProof/>
          <w:sz w:val="24"/>
          <w:szCs w:val="24"/>
        </w:rPr>
        <w:t>(9), 1697–1723. https://doi.org/10.1108/srj-09-2023-0517</w:t>
      </w:r>
    </w:p>
    <w:p w14:paraId="00F2459E"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Mañay, L. O. R., Guaita-Pradas, I., &amp; Marques-Pérez, I. (2022). Measuring the Supply Chain Performance of the Floricultural Sector Using the SCOR Model and a Multicriteria Decision-Making Method. </w:t>
      </w:r>
      <w:r w:rsidRPr="00F85AAE">
        <w:rPr>
          <w:rFonts w:ascii="Times New Roman" w:hAnsi="Times New Roman" w:cs="Times New Roman"/>
          <w:i/>
          <w:iCs/>
          <w:noProof/>
          <w:sz w:val="24"/>
          <w:szCs w:val="24"/>
        </w:rPr>
        <w:t>Horticulturae</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8</w:t>
      </w:r>
      <w:r w:rsidRPr="00F85AAE">
        <w:rPr>
          <w:rFonts w:ascii="Times New Roman" w:hAnsi="Times New Roman" w:cs="Times New Roman"/>
          <w:noProof/>
          <w:sz w:val="24"/>
          <w:szCs w:val="24"/>
        </w:rPr>
        <w:t>(2), 168. https://doi.org/10.3390/horticulturae8020168</w:t>
      </w:r>
    </w:p>
    <w:p w14:paraId="69655FBD"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Mayangsari, A., &amp; Fauzi, F. A. (2023). ANALISIS DESAIN METRIK PENGUKURAN </w:t>
      </w:r>
      <w:r w:rsidRPr="00F85AAE">
        <w:rPr>
          <w:rFonts w:ascii="Times New Roman" w:hAnsi="Times New Roman" w:cs="Times New Roman"/>
          <w:noProof/>
          <w:sz w:val="24"/>
          <w:szCs w:val="24"/>
        </w:rPr>
        <w:lastRenderedPageBreak/>
        <w:t xml:space="preserve">KINERJA RANTAI PASOK TEBU (Kasus Di Pabrik Gula Wringin Anom Kabupaten Situbondo). </w:t>
      </w:r>
      <w:r w:rsidRPr="00F85AAE">
        <w:rPr>
          <w:rFonts w:ascii="Times New Roman" w:hAnsi="Times New Roman" w:cs="Times New Roman"/>
          <w:i/>
          <w:iCs/>
          <w:noProof/>
          <w:sz w:val="24"/>
          <w:szCs w:val="24"/>
        </w:rPr>
        <w:t>Agribios</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21</w:t>
      </w:r>
      <w:r w:rsidRPr="00F85AAE">
        <w:rPr>
          <w:rFonts w:ascii="Times New Roman" w:hAnsi="Times New Roman" w:cs="Times New Roman"/>
          <w:noProof/>
          <w:sz w:val="24"/>
          <w:szCs w:val="24"/>
        </w:rPr>
        <w:t>(1), 34. https://doi.org/10.36841/agribios.v21i1.2892</w:t>
      </w:r>
    </w:p>
    <w:p w14:paraId="7116CF58"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Mursidah, S., &amp; Fauzi, A. M. (2022). Sustainable Sugarcane Supply Chain Performance Assessment: A Review and Research Agenda. </w:t>
      </w:r>
      <w:r w:rsidRPr="00F85AAE">
        <w:rPr>
          <w:rFonts w:ascii="Times New Roman" w:hAnsi="Times New Roman" w:cs="Times New Roman"/>
          <w:i/>
          <w:iCs/>
          <w:noProof/>
          <w:sz w:val="24"/>
          <w:szCs w:val="24"/>
        </w:rPr>
        <w:t>Iop Conference Series Earth and Environmental Science</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1063</w:t>
      </w:r>
      <w:r w:rsidRPr="00F85AAE">
        <w:rPr>
          <w:rFonts w:ascii="Times New Roman" w:hAnsi="Times New Roman" w:cs="Times New Roman"/>
          <w:noProof/>
          <w:sz w:val="24"/>
          <w:szCs w:val="24"/>
        </w:rPr>
        <w:t>(1), 12039. https://doi.org/10.1088/1755-1315/1063/1/012039</w:t>
      </w:r>
    </w:p>
    <w:p w14:paraId="131D47AD"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Riantini, M., Affandi, M. I., Nur’aini, L. G., &amp; Kusnandi, S. A. (2023). Kinerja Rantai Pasok Industri Kopi Bubuk Di Kecamatan Kemiling Kota Bandar Lampung. </w:t>
      </w:r>
      <w:r w:rsidRPr="00F85AAE">
        <w:rPr>
          <w:rFonts w:ascii="Times New Roman" w:hAnsi="Times New Roman" w:cs="Times New Roman"/>
          <w:i/>
          <w:iCs/>
          <w:noProof/>
          <w:sz w:val="24"/>
          <w:szCs w:val="24"/>
        </w:rPr>
        <w:t>Jurnal Penelitian Pertanian Terapan</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23</w:t>
      </w:r>
      <w:r w:rsidRPr="00F85AAE">
        <w:rPr>
          <w:rFonts w:ascii="Times New Roman" w:hAnsi="Times New Roman" w:cs="Times New Roman"/>
          <w:noProof/>
          <w:sz w:val="24"/>
          <w:szCs w:val="24"/>
        </w:rPr>
        <w:t>(4), 489–498. https://doi.org/10.25181/jppt.v23i4.2930</w:t>
      </w:r>
    </w:p>
    <w:p w14:paraId="6553701E"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Seixas, B. V, &amp; Macinko, J. (2020). Unavailability of Paid Sick Leave Among Parents Is a Barrier for Children’s Utilization Of&lt;scp&gt;nonemergency&lt;/Scp&gt;health Services: Evidence From the National Health Interview Survey. </w:t>
      </w:r>
      <w:r w:rsidRPr="00F85AAE">
        <w:rPr>
          <w:rFonts w:ascii="Times New Roman" w:hAnsi="Times New Roman" w:cs="Times New Roman"/>
          <w:i/>
          <w:iCs/>
          <w:noProof/>
          <w:sz w:val="24"/>
          <w:szCs w:val="24"/>
        </w:rPr>
        <w:t>The International Journal of Health Planning and Management</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35</w:t>
      </w:r>
      <w:r w:rsidRPr="00F85AAE">
        <w:rPr>
          <w:rFonts w:ascii="Times New Roman" w:hAnsi="Times New Roman" w:cs="Times New Roman"/>
          <w:noProof/>
          <w:sz w:val="24"/>
          <w:szCs w:val="24"/>
        </w:rPr>
        <w:t>(5), 1083–1097. https://doi.org/10.1002/hpm.2988</w:t>
      </w:r>
    </w:p>
    <w:p w14:paraId="4D01188C"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Shidiq, H. A., Zakaria, A., &amp; Nasution, H. (2024). Analysis of Sustainability Report Disclosure and Sustainability Performance in Energy, Oil, and Gas Cluster BUMN Companies. </w:t>
      </w:r>
      <w:r w:rsidRPr="00F85AAE">
        <w:rPr>
          <w:rFonts w:ascii="Times New Roman" w:hAnsi="Times New Roman" w:cs="Times New Roman"/>
          <w:i/>
          <w:iCs/>
          <w:noProof/>
          <w:sz w:val="24"/>
          <w:szCs w:val="24"/>
        </w:rPr>
        <w:t>Jbiar</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1</w:t>
      </w:r>
      <w:r w:rsidRPr="00F85AAE">
        <w:rPr>
          <w:rFonts w:ascii="Times New Roman" w:hAnsi="Times New Roman" w:cs="Times New Roman"/>
          <w:noProof/>
          <w:sz w:val="24"/>
          <w:szCs w:val="24"/>
        </w:rPr>
        <w:t>(2), 162–178. https://doi.org/10.56442/s9q8z354</w:t>
      </w:r>
    </w:p>
    <w:p w14:paraId="3E17910B"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Sitorus, M. Y., Baihaqi, I., &amp; Ardiantono, D. S. (2020). Supply Chain Analytics Maturity Model: Sebuah Tinjauan Pustaka. </w:t>
      </w:r>
      <w:r w:rsidRPr="00F85AAE">
        <w:rPr>
          <w:rFonts w:ascii="Times New Roman" w:hAnsi="Times New Roman" w:cs="Times New Roman"/>
          <w:i/>
          <w:iCs/>
          <w:noProof/>
          <w:sz w:val="24"/>
          <w:szCs w:val="24"/>
        </w:rPr>
        <w:t>Jurnal Teknik Its</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9</w:t>
      </w:r>
      <w:r w:rsidRPr="00F85AAE">
        <w:rPr>
          <w:rFonts w:ascii="Times New Roman" w:hAnsi="Times New Roman" w:cs="Times New Roman"/>
          <w:noProof/>
          <w:sz w:val="24"/>
          <w:szCs w:val="24"/>
        </w:rPr>
        <w:t>(1). https://doi.org/10.12962/j23373539.v9i1.50436</w:t>
      </w:r>
    </w:p>
    <w:p w14:paraId="29243933"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Stifany, N., Supriyadi, S., &amp; Shofa, M. J. (2020). Integrasi ANP Dan OMAX Dalam Pengukuran Kinerja Rantai Pasok Industri Kimia. </w:t>
      </w:r>
      <w:r w:rsidRPr="00F85AAE">
        <w:rPr>
          <w:rFonts w:ascii="Times New Roman" w:hAnsi="Times New Roman" w:cs="Times New Roman"/>
          <w:i/>
          <w:iCs/>
          <w:noProof/>
          <w:sz w:val="24"/>
          <w:szCs w:val="24"/>
        </w:rPr>
        <w:t>Profisiensi Jurnal Program Studi Teknik Industri</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8</w:t>
      </w:r>
      <w:r w:rsidRPr="00F85AAE">
        <w:rPr>
          <w:rFonts w:ascii="Times New Roman" w:hAnsi="Times New Roman" w:cs="Times New Roman"/>
          <w:noProof/>
          <w:sz w:val="24"/>
          <w:szCs w:val="24"/>
        </w:rPr>
        <w:t>(2), 94–104. https://doi.org/10.33373/profis.v8i2.2767</w:t>
      </w:r>
    </w:p>
    <w:p w14:paraId="6DB32A13"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Thanasas, G. L., PATRA, E., &amp; Lampropoulos, S. (2022). Corporate Social Responsibility and Environmental Accounting: How Do They Apply in Greece? </w:t>
      </w:r>
      <w:r w:rsidRPr="00F85AAE">
        <w:rPr>
          <w:rFonts w:ascii="Times New Roman" w:hAnsi="Times New Roman" w:cs="Times New Roman"/>
          <w:i/>
          <w:iCs/>
          <w:noProof/>
          <w:sz w:val="24"/>
          <w:szCs w:val="24"/>
        </w:rPr>
        <w:t>Journal of European Economy</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Volume 21</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Vol 21</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No 1 (2022)</w:t>
      </w:r>
      <w:r w:rsidRPr="00F85AAE">
        <w:rPr>
          <w:rFonts w:ascii="Times New Roman" w:hAnsi="Times New Roman" w:cs="Times New Roman"/>
          <w:noProof/>
          <w:sz w:val="24"/>
          <w:szCs w:val="24"/>
        </w:rPr>
        <w:t>, 82–111. https://doi.org/10.35774/jee2022.01.082</w:t>
      </w:r>
    </w:p>
    <w:p w14:paraId="0D61FEDC"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Wang, K. (2023). </w:t>
      </w:r>
      <w:r w:rsidRPr="00F85AAE">
        <w:rPr>
          <w:rFonts w:ascii="Times New Roman" w:hAnsi="Times New Roman" w:cs="Times New Roman"/>
          <w:i/>
          <w:iCs/>
          <w:noProof/>
          <w:sz w:val="24"/>
          <w:szCs w:val="24"/>
        </w:rPr>
        <w:t>A Study of Human Resource Management Competency Model Based on Data Science</w:t>
      </w:r>
      <w:r w:rsidRPr="00F85AAE">
        <w:rPr>
          <w:rFonts w:ascii="Times New Roman" w:hAnsi="Times New Roman" w:cs="Times New Roman"/>
          <w:noProof/>
          <w:sz w:val="24"/>
          <w:szCs w:val="24"/>
        </w:rPr>
        <w:t>. 1292–1296. https://doi.org/10.2991/978-94-6463-102-9_133</w:t>
      </w:r>
    </w:p>
    <w:p w14:paraId="037AFD3E"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Wang, Li. (2021). The Analysis of Mathematics Academic Burden for Primary School Students Based on PISA Data Analysis. </w:t>
      </w:r>
      <w:r w:rsidRPr="00F85AAE">
        <w:rPr>
          <w:rFonts w:ascii="Times New Roman" w:hAnsi="Times New Roman" w:cs="Times New Roman"/>
          <w:i/>
          <w:iCs/>
          <w:noProof/>
          <w:sz w:val="24"/>
          <w:szCs w:val="24"/>
        </w:rPr>
        <w:t>Frontiers in Psychology</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12</w:t>
      </w:r>
      <w:r w:rsidRPr="00F85AAE">
        <w:rPr>
          <w:rFonts w:ascii="Times New Roman" w:hAnsi="Times New Roman" w:cs="Times New Roman"/>
          <w:noProof/>
          <w:sz w:val="24"/>
          <w:szCs w:val="24"/>
        </w:rPr>
        <w:t>. https://doi.org/10.3389/fpsyg.2021.600348</w:t>
      </w:r>
    </w:p>
    <w:p w14:paraId="2051D34C" w14:textId="77777777" w:rsidR="00F85AAE" w:rsidRPr="00F85AAE" w:rsidRDefault="00F85AAE" w:rsidP="00245F2B">
      <w:pPr>
        <w:widowControl w:val="0"/>
        <w:autoSpaceDE w:val="0"/>
        <w:autoSpaceDN w:val="0"/>
        <w:adjustRightInd w:val="0"/>
        <w:spacing w:after="0" w:line="240" w:lineRule="auto"/>
        <w:ind w:left="720" w:hanging="720"/>
        <w:jc w:val="both"/>
        <w:rPr>
          <w:rFonts w:ascii="Times New Roman" w:hAnsi="Times New Roman" w:cs="Times New Roman"/>
          <w:noProof/>
          <w:sz w:val="24"/>
          <w:szCs w:val="24"/>
        </w:rPr>
      </w:pPr>
      <w:r w:rsidRPr="00F85AAE">
        <w:rPr>
          <w:rFonts w:ascii="Times New Roman" w:hAnsi="Times New Roman" w:cs="Times New Roman"/>
          <w:noProof/>
          <w:sz w:val="24"/>
          <w:szCs w:val="24"/>
        </w:rPr>
        <w:t xml:space="preserve">Wang, Lingyan, Wang, Q., Zhou, X., &amp; Liu, H. (2024). Women’s Knowledge, Attitude, and Practice Regarding Cervical Precancerous Lesions: A Cross-Sectional Study in Beijing, China. </w:t>
      </w:r>
      <w:r w:rsidRPr="00F85AAE">
        <w:rPr>
          <w:rFonts w:ascii="Times New Roman" w:hAnsi="Times New Roman" w:cs="Times New Roman"/>
          <w:i/>
          <w:iCs/>
          <w:noProof/>
          <w:sz w:val="24"/>
          <w:szCs w:val="24"/>
        </w:rPr>
        <w:t>Frontiers in Public Health</w:t>
      </w:r>
      <w:r w:rsidRPr="00F85AAE">
        <w:rPr>
          <w:rFonts w:ascii="Times New Roman" w:hAnsi="Times New Roman" w:cs="Times New Roman"/>
          <w:noProof/>
          <w:sz w:val="24"/>
          <w:szCs w:val="24"/>
        </w:rPr>
        <w:t xml:space="preserve">, </w:t>
      </w:r>
      <w:r w:rsidRPr="00F85AAE">
        <w:rPr>
          <w:rFonts w:ascii="Times New Roman" w:hAnsi="Times New Roman" w:cs="Times New Roman"/>
          <w:i/>
          <w:iCs/>
          <w:noProof/>
          <w:sz w:val="24"/>
          <w:szCs w:val="24"/>
        </w:rPr>
        <w:t>12</w:t>
      </w:r>
      <w:r w:rsidRPr="00F85AAE">
        <w:rPr>
          <w:rFonts w:ascii="Times New Roman" w:hAnsi="Times New Roman" w:cs="Times New Roman"/>
          <w:noProof/>
          <w:sz w:val="24"/>
          <w:szCs w:val="24"/>
        </w:rPr>
        <w:t>. https://doi.org/10.3389/fpubh.2024.1433718</w:t>
      </w:r>
    </w:p>
    <w:p w14:paraId="494E76E6" w14:textId="7E23BEAE" w:rsidR="00CB4C91" w:rsidRPr="00A553EE" w:rsidRDefault="00F85AAE" w:rsidP="00245F2B">
      <w:pPr>
        <w:widowControl w:val="0"/>
        <w:spacing w:after="0" w:line="240" w:lineRule="auto"/>
        <w:ind w:left="720" w:hanging="720"/>
        <w:jc w:val="both"/>
        <w:rPr>
          <w:rFonts w:ascii="Times New Roman" w:eastAsia="Palatino Linotype" w:hAnsi="Times New Roman" w:cs="Times New Roman"/>
          <w:sz w:val="24"/>
          <w:szCs w:val="24"/>
        </w:rPr>
      </w:pPr>
      <w:r w:rsidRPr="00F85AAE">
        <w:rPr>
          <w:rFonts w:ascii="Times New Roman" w:eastAsia="Palatino Linotype" w:hAnsi="Times New Roman" w:cs="Times New Roman"/>
          <w:sz w:val="24"/>
          <w:szCs w:val="24"/>
        </w:rPr>
        <w:fldChar w:fldCharType="end"/>
      </w:r>
    </w:p>
    <w:p w14:paraId="7609C776" w14:textId="19DAB0DE" w:rsidR="00B01F2F" w:rsidRPr="00A553EE" w:rsidRDefault="00B01F2F" w:rsidP="0000008A">
      <w:pPr>
        <w:spacing w:after="0" w:line="240" w:lineRule="auto"/>
        <w:rPr>
          <w:rFonts w:ascii="Times New Roman" w:hAnsi="Times New Roman" w:cs="Times New Roman"/>
          <w:b/>
          <w:sz w:val="24"/>
          <w:szCs w:val="24"/>
        </w:rPr>
      </w:pPr>
    </w:p>
    <w:sectPr w:rsidR="00B01F2F" w:rsidRPr="00A553EE" w:rsidSect="0000008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6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3F29" w14:textId="77777777" w:rsidR="00846163" w:rsidRDefault="00846163" w:rsidP="00D47ED7">
      <w:pPr>
        <w:spacing w:after="0" w:line="240" w:lineRule="auto"/>
      </w:pPr>
      <w:r>
        <w:separator/>
      </w:r>
    </w:p>
  </w:endnote>
  <w:endnote w:type="continuationSeparator" w:id="0">
    <w:p w14:paraId="7160D5EC" w14:textId="77777777" w:rsidR="00846163" w:rsidRDefault="00846163" w:rsidP="00D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A732" w14:textId="685D59DD" w:rsidR="00ED001F" w:rsidRPr="008B4AC3" w:rsidRDefault="00846163" w:rsidP="008B4AC3">
    <w:pPr>
      <w:pStyle w:val="Footer"/>
      <w:jc w:val="right"/>
    </w:pPr>
    <w:sdt>
      <w:sdtPr>
        <w:id w:val="494528198"/>
        <w:docPartObj>
          <w:docPartGallery w:val="Page Numbers (Bottom of Page)"/>
          <w:docPartUnique/>
        </w:docPartObj>
      </w:sdtPr>
      <w:sdtEndPr/>
      <w:sdtContent>
        <w:r w:rsidR="008B4AC3">
          <w:fldChar w:fldCharType="begin"/>
        </w:r>
        <w:r w:rsidR="008B4AC3">
          <w:instrText>PAGE   \* MERGEFORMAT</w:instrText>
        </w:r>
        <w:r w:rsidR="008B4AC3">
          <w:fldChar w:fldCharType="separate"/>
        </w:r>
        <w:r w:rsidR="008B4AC3">
          <w:t>1</w:t>
        </w:r>
        <w:r w:rsidR="008B4AC3">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CB22" w14:textId="1E2B3B84" w:rsidR="0000008A" w:rsidRPr="0000008A" w:rsidRDefault="0000008A" w:rsidP="0000008A">
    <w:pPr>
      <w:pStyle w:val="Footer"/>
      <w:jc w:val="right"/>
      <w:rPr>
        <w:lang w:val="en-US"/>
      </w:rPr>
    </w:pPr>
    <w:sdt>
      <w:sdtPr>
        <w:id w:val="-2136091128"/>
        <w:docPartObj>
          <w:docPartGallery w:val="Page Numbers (Bottom of Page)"/>
          <w:docPartUnique/>
        </w:docPartObj>
      </w:sdtPr>
      <w:sdtContent>
        <w:r>
          <w:fldChar w:fldCharType="begin"/>
        </w:r>
        <w:r>
          <w:instrText>PAGE   \* MERGEFORMAT</w:instrText>
        </w:r>
        <w:r>
          <w:fldChar w:fldCharType="separate"/>
        </w:r>
        <w:r>
          <w:t>6</w:t>
        </w:r>
        <w:r>
          <w:t>6</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3566" w14:textId="5A72E8B4" w:rsidR="00206DB7" w:rsidRPr="00622A27" w:rsidRDefault="00846163" w:rsidP="008B4AC3">
    <w:pPr>
      <w:pStyle w:val="Footer"/>
      <w:jc w:val="right"/>
      <w:rPr>
        <w:lang w:val="en-US"/>
      </w:rPr>
    </w:pPr>
    <w:sdt>
      <w:sdtPr>
        <w:id w:val="-723524183"/>
        <w:docPartObj>
          <w:docPartGallery w:val="Page Numbers (Bottom of Page)"/>
          <w:docPartUnique/>
        </w:docPartObj>
      </w:sdtPr>
      <w:sdtEndPr/>
      <w:sdtContent>
        <w:r w:rsidR="008B4AC3">
          <w:fldChar w:fldCharType="begin"/>
        </w:r>
        <w:r w:rsidR="008B4AC3">
          <w:instrText>PAGE   \* MERGEFORMAT</w:instrText>
        </w:r>
        <w:r w:rsidR="008B4AC3">
          <w:fldChar w:fldCharType="separate"/>
        </w:r>
        <w:r w:rsidR="008B4AC3">
          <w:t>1</w:t>
        </w:r>
        <w:r w:rsidR="008B4AC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D01B" w14:textId="77777777" w:rsidR="00846163" w:rsidRDefault="00846163" w:rsidP="00D47ED7">
      <w:pPr>
        <w:spacing w:after="0" w:line="240" w:lineRule="auto"/>
      </w:pPr>
      <w:r>
        <w:separator/>
      </w:r>
    </w:p>
  </w:footnote>
  <w:footnote w:type="continuationSeparator" w:id="0">
    <w:p w14:paraId="0B06C41C" w14:textId="77777777" w:rsidR="00846163" w:rsidRDefault="00846163" w:rsidP="00D4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C240" w14:textId="70C17654" w:rsidR="00206DB7" w:rsidRPr="002A293D" w:rsidRDefault="00CC684A" w:rsidP="008B4AC3">
    <w:pPr>
      <w:pStyle w:val="Header"/>
      <w:rPr>
        <w:rFonts w:ascii="Times New Roman" w:hAnsi="Times New Roman" w:cs="Times New Roman"/>
        <w:i/>
        <w:iCs/>
        <w:sz w:val="20"/>
        <w:szCs w:val="20"/>
        <w:lang w:val="en-US"/>
      </w:rPr>
    </w:pPr>
    <w:r w:rsidRPr="00CC684A">
      <w:rPr>
        <w:rFonts w:ascii="Times New Roman" w:hAnsi="Times New Roman" w:cs="Times New Roman"/>
        <w:i/>
        <w:iCs/>
        <w:sz w:val="20"/>
        <w:szCs w:val="20"/>
      </w:rPr>
      <w:t xml:space="preserve">Supply Chain Performance Measurement in Residential Construction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D7C5" w14:textId="706F60EB" w:rsidR="00206DB7" w:rsidRPr="00F85AAE" w:rsidRDefault="00F85AAE" w:rsidP="00F85AAE">
    <w:pPr>
      <w:pStyle w:val="Header"/>
    </w:pPr>
    <w:r w:rsidRPr="00F85AAE">
      <w:rPr>
        <w:rFonts w:ascii="Times New Roman" w:hAnsi="Times New Roman" w:cs="Times New Roman"/>
        <w:i/>
        <w:iCs/>
        <w:sz w:val="20"/>
        <w:szCs w:val="20"/>
      </w:rPr>
      <w:t xml:space="preserve">Supply </w:t>
    </w:r>
    <w:r w:rsidRPr="00F85AAE">
      <w:rPr>
        <w:rFonts w:ascii="Times New Roman" w:hAnsi="Times New Roman" w:cs="Times New Roman"/>
        <w:i/>
        <w:iCs/>
        <w:sz w:val="20"/>
        <w:szCs w:val="20"/>
      </w:rPr>
      <w:t>Chain Performance Measurement in Residential Construction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69"/>
    </w:tblGrid>
    <w:tr w:rsidR="008E704C" w14:paraId="7B3148BE" w14:textId="77777777" w:rsidTr="008E704C">
      <w:tc>
        <w:tcPr>
          <w:tcW w:w="5070" w:type="dxa"/>
        </w:tcPr>
        <w:p w14:paraId="4F7B04B9" w14:textId="77777777" w:rsidR="008E704C" w:rsidRPr="007C65A7" w:rsidRDefault="008E704C" w:rsidP="007C65A7">
          <w:pPr>
            <w:ind w:right="-104"/>
            <w:rPr>
              <w:rFonts w:ascii="Book Antiqua" w:hAnsi="Book Antiqua" w:cstheme="majorBidi"/>
              <w:b/>
              <w:bCs/>
              <w:position w:val="-5"/>
              <w:szCs w:val="24"/>
              <w:lang w:val="en-US"/>
            </w:rPr>
          </w:pPr>
          <w:r w:rsidRPr="007C65A7">
            <w:rPr>
              <w:rFonts w:ascii="Book Antiqua" w:hAnsi="Book Antiqua" w:cstheme="majorBidi"/>
              <w:b/>
              <w:bCs/>
              <w:position w:val="-5"/>
              <w:szCs w:val="24"/>
            </w:rPr>
            <w:t>Injuruty: Interdisciplinary Journal and Humanity</w:t>
          </w:r>
          <w:bookmarkStart w:id="0" w:name="_Hlk115873670"/>
          <w:bookmarkEnd w:id="0"/>
        </w:p>
        <w:p w14:paraId="3D70FC7B" w14:textId="6C15DEC5" w:rsidR="008E704C" w:rsidRPr="007C65A7" w:rsidRDefault="004911B4" w:rsidP="008E704C">
          <w:pPr>
            <w:rPr>
              <w:rFonts w:ascii="Book Antiqua" w:hAnsi="Book Antiqua"/>
              <w:szCs w:val="24"/>
              <w:lang w:val="en-US"/>
            </w:rPr>
          </w:pPr>
          <w:r w:rsidRPr="007C65A7">
            <w:rPr>
              <w:rFonts w:ascii="Book Antiqua" w:hAnsi="Book Antiqua" w:cstheme="majorBidi"/>
              <w:position w:val="-5"/>
              <w:szCs w:val="24"/>
            </w:rPr>
            <w:t xml:space="preserve">Volume </w:t>
          </w:r>
          <w:r w:rsidR="00F85AAE">
            <w:rPr>
              <w:rFonts w:ascii="Book Antiqua" w:hAnsi="Book Antiqua" w:cstheme="majorBidi"/>
              <w:position w:val="-5"/>
              <w:szCs w:val="24"/>
            </w:rPr>
            <w:t>5</w:t>
          </w:r>
          <w:r w:rsidRPr="007C65A7">
            <w:rPr>
              <w:rFonts w:ascii="Book Antiqua" w:hAnsi="Book Antiqua" w:cstheme="majorBidi"/>
              <w:position w:val="-5"/>
              <w:szCs w:val="24"/>
            </w:rPr>
            <w:t xml:space="preserve">, Number </w:t>
          </w:r>
          <w:r w:rsidR="00F85AAE">
            <w:rPr>
              <w:rFonts w:ascii="Book Antiqua" w:hAnsi="Book Antiqua" w:cstheme="majorBidi"/>
              <w:position w:val="-5"/>
              <w:szCs w:val="24"/>
            </w:rPr>
            <w:t>2</w:t>
          </w:r>
          <w:r w:rsidRPr="007C65A7">
            <w:rPr>
              <w:rFonts w:ascii="Book Antiqua" w:hAnsi="Book Antiqua" w:cstheme="majorBidi"/>
              <w:position w:val="-5"/>
              <w:szCs w:val="24"/>
            </w:rPr>
            <w:t xml:space="preserve">, </w:t>
          </w:r>
          <w:r w:rsidR="00F85AAE">
            <w:rPr>
              <w:rFonts w:ascii="Book Antiqua" w:hAnsi="Book Antiqua" w:cstheme="majorBidi"/>
              <w:position w:val="-5"/>
              <w:szCs w:val="24"/>
            </w:rPr>
            <w:t>February</w:t>
          </w:r>
          <w:r w:rsidRPr="007C65A7">
            <w:rPr>
              <w:rFonts w:ascii="Book Antiqua" w:hAnsi="Book Antiqua" w:cstheme="majorBidi"/>
              <w:position w:val="-5"/>
              <w:szCs w:val="24"/>
            </w:rPr>
            <w:t xml:space="preserve"> 202</w:t>
          </w:r>
          <w:r w:rsidR="00F85AAE">
            <w:rPr>
              <w:rFonts w:ascii="Book Antiqua" w:hAnsi="Book Antiqua" w:cstheme="majorBidi"/>
              <w:position w:val="-5"/>
              <w:szCs w:val="24"/>
            </w:rPr>
            <w:t>6</w:t>
          </w:r>
        </w:p>
        <w:p w14:paraId="5DD6A8FB" w14:textId="4EF7E210" w:rsidR="008E704C" w:rsidRPr="007C65A7" w:rsidRDefault="008E704C" w:rsidP="008E704C">
          <w:pPr>
            <w:rPr>
              <w:rFonts w:ascii="Times New Roman" w:hAnsi="Times New Roman" w:cs="Times New Roman"/>
              <w:i/>
              <w:iCs/>
              <w:szCs w:val="24"/>
              <w:lang w:val="en-US"/>
            </w:rPr>
          </w:pPr>
          <w:r w:rsidRPr="007C65A7">
            <w:rPr>
              <w:rFonts w:ascii="Book Antiqua" w:hAnsi="Book Antiqua" w:cstheme="majorBidi"/>
              <w:position w:val="-5"/>
              <w:szCs w:val="24"/>
            </w:rPr>
            <w:t>e-ISSN: 2963-4113 and p-ISSN: 2963-3397</w:t>
          </w:r>
        </w:p>
      </w:tc>
      <w:tc>
        <w:tcPr>
          <w:tcW w:w="3969" w:type="dxa"/>
        </w:tcPr>
        <w:p w14:paraId="0F1D8984" w14:textId="706C477F" w:rsidR="008E704C" w:rsidRDefault="008E704C" w:rsidP="007C65A7">
          <w:pPr>
            <w:pStyle w:val="Header"/>
            <w:rPr>
              <w:rFonts w:ascii="Times New Roman" w:hAnsi="Times New Roman" w:cs="Times New Roman"/>
              <w:i/>
              <w:iCs/>
              <w:lang w:val="en-US"/>
            </w:rPr>
          </w:pPr>
          <w:r w:rsidRPr="002A3469">
            <w:rPr>
              <w:noProof/>
            </w:rPr>
            <w:drawing>
              <wp:anchor distT="0" distB="0" distL="114300" distR="114300" simplePos="0" relativeHeight="251664384" behindDoc="0" locked="0" layoutInCell="1" allowOverlap="1" wp14:anchorId="04FFD6A4" wp14:editId="5EB7E2BD">
                <wp:simplePos x="0" y="0"/>
                <wp:positionH relativeFrom="margin">
                  <wp:posOffset>430721</wp:posOffset>
                </wp:positionH>
                <wp:positionV relativeFrom="margin">
                  <wp:posOffset>2181</wp:posOffset>
                </wp:positionV>
                <wp:extent cx="2302510" cy="5969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2510" cy="596900"/>
                        </a:xfrm>
                        <a:prstGeom prst="rect">
                          <a:avLst/>
                        </a:prstGeom>
                      </pic:spPr>
                    </pic:pic>
                  </a:graphicData>
                </a:graphic>
                <wp14:sizeRelH relativeFrom="margin">
                  <wp14:pctWidth>0</wp14:pctWidth>
                </wp14:sizeRelH>
              </wp:anchor>
            </w:drawing>
          </w:r>
        </w:p>
      </w:tc>
    </w:tr>
  </w:tbl>
  <w:p w14:paraId="47368DCB" w14:textId="0351CB5F" w:rsidR="00206DB7" w:rsidRPr="00206DB7" w:rsidRDefault="00206DB7" w:rsidP="00206DB7">
    <w:pPr>
      <w:pStyle w:val="Header"/>
      <w:jc w:val="right"/>
      <w:rPr>
        <w:rFonts w:ascii="Times New Roman" w:hAnsi="Times New Roman" w:cs="Times New Roman"/>
        <w:i/>
        <w:i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B92"/>
    <w:multiLevelType w:val="hybridMultilevel"/>
    <w:tmpl w:val="4CE0BEBC"/>
    <w:lvl w:ilvl="0" w:tplc="4E30F428">
      <w:start w:val="1"/>
      <w:numFmt w:val="decimal"/>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20F33D2"/>
    <w:multiLevelType w:val="hybridMultilevel"/>
    <w:tmpl w:val="6DB415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4C4C68"/>
    <w:multiLevelType w:val="hybridMultilevel"/>
    <w:tmpl w:val="07443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94EAC"/>
    <w:multiLevelType w:val="hybridMultilevel"/>
    <w:tmpl w:val="EA9AD636"/>
    <w:lvl w:ilvl="0" w:tplc="8D80FAEA">
      <w:start w:val="1"/>
      <w:numFmt w:val="bullet"/>
      <w:lvlText w:val=""/>
      <w:lvlJc w:val="left"/>
      <w:pPr>
        <w:ind w:left="1440" w:hanging="360"/>
      </w:pPr>
      <w:rPr>
        <w:rFonts w:ascii="Symbol" w:hAnsi="Symbol"/>
      </w:rPr>
    </w:lvl>
    <w:lvl w:ilvl="1" w:tplc="8E76E90A">
      <w:start w:val="1"/>
      <w:numFmt w:val="bullet"/>
      <w:lvlText w:val=""/>
      <w:lvlJc w:val="left"/>
      <w:pPr>
        <w:ind w:left="1440" w:hanging="360"/>
      </w:pPr>
      <w:rPr>
        <w:rFonts w:ascii="Symbol" w:hAnsi="Symbol"/>
      </w:rPr>
    </w:lvl>
    <w:lvl w:ilvl="2" w:tplc="C13A64C4">
      <w:start w:val="1"/>
      <w:numFmt w:val="bullet"/>
      <w:lvlText w:val=""/>
      <w:lvlJc w:val="left"/>
      <w:pPr>
        <w:ind w:left="1440" w:hanging="360"/>
      </w:pPr>
      <w:rPr>
        <w:rFonts w:ascii="Symbol" w:hAnsi="Symbol"/>
      </w:rPr>
    </w:lvl>
    <w:lvl w:ilvl="3" w:tplc="47E24154">
      <w:start w:val="1"/>
      <w:numFmt w:val="bullet"/>
      <w:lvlText w:val=""/>
      <w:lvlJc w:val="left"/>
      <w:pPr>
        <w:ind w:left="1440" w:hanging="360"/>
      </w:pPr>
      <w:rPr>
        <w:rFonts w:ascii="Symbol" w:hAnsi="Symbol"/>
      </w:rPr>
    </w:lvl>
    <w:lvl w:ilvl="4" w:tplc="C0643836">
      <w:start w:val="1"/>
      <w:numFmt w:val="bullet"/>
      <w:lvlText w:val=""/>
      <w:lvlJc w:val="left"/>
      <w:pPr>
        <w:ind w:left="1440" w:hanging="360"/>
      </w:pPr>
      <w:rPr>
        <w:rFonts w:ascii="Symbol" w:hAnsi="Symbol"/>
      </w:rPr>
    </w:lvl>
    <w:lvl w:ilvl="5" w:tplc="E22C4148">
      <w:start w:val="1"/>
      <w:numFmt w:val="bullet"/>
      <w:lvlText w:val=""/>
      <w:lvlJc w:val="left"/>
      <w:pPr>
        <w:ind w:left="1440" w:hanging="360"/>
      </w:pPr>
      <w:rPr>
        <w:rFonts w:ascii="Symbol" w:hAnsi="Symbol"/>
      </w:rPr>
    </w:lvl>
    <w:lvl w:ilvl="6" w:tplc="E8663904">
      <w:start w:val="1"/>
      <w:numFmt w:val="bullet"/>
      <w:lvlText w:val=""/>
      <w:lvlJc w:val="left"/>
      <w:pPr>
        <w:ind w:left="1440" w:hanging="360"/>
      </w:pPr>
      <w:rPr>
        <w:rFonts w:ascii="Symbol" w:hAnsi="Symbol"/>
      </w:rPr>
    </w:lvl>
    <w:lvl w:ilvl="7" w:tplc="DEF61D12">
      <w:start w:val="1"/>
      <w:numFmt w:val="bullet"/>
      <w:lvlText w:val=""/>
      <w:lvlJc w:val="left"/>
      <w:pPr>
        <w:ind w:left="1440" w:hanging="360"/>
      </w:pPr>
      <w:rPr>
        <w:rFonts w:ascii="Symbol" w:hAnsi="Symbol"/>
      </w:rPr>
    </w:lvl>
    <w:lvl w:ilvl="8" w:tplc="A3D81036">
      <w:start w:val="1"/>
      <w:numFmt w:val="bullet"/>
      <w:lvlText w:val=""/>
      <w:lvlJc w:val="left"/>
      <w:pPr>
        <w:ind w:left="1440" w:hanging="360"/>
      </w:pPr>
      <w:rPr>
        <w:rFonts w:ascii="Symbol" w:hAnsi="Symbol"/>
      </w:rPr>
    </w:lvl>
  </w:abstractNum>
  <w:abstractNum w:abstractNumId="4" w15:restartNumberingAfterBreak="0">
    <w:nsid w:val="06837A7B"/>
    <w:multiLevelType w:val="hybridMultilevel"/>
    <w:tmpl w:val="047A0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91CD1"/>
    <w:multiLevelType w:val="hybridMultilevel"/>
    <w:tmpl w:val="81A4F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668BD"/>
    <w:multiLevelType w:val="hybridMultilevel"/>
    <w:tmpl w:val="F146A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16A5290"/>
    <w:multiLevelType w:val="hybridMultilevel"/>
    <w:tmpl w:val="0D0A74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47E79"/>
    <w:multiLevelType w:val="hybridMultilevel"/>
    <w:tmpl w:val="DDE42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91A6E"/>
    <w:multiLevelType w:val="hybridMultilevel"/>
    <w:tmpl w:val="E1A2C55A"/>
    <w:lvl w:ilvl="0" w:tplc="5A38B2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D1F6890"/>
    <w:multiLevelType w:val="hybridMultilevel"/>
    <w:tmpl w:val="74160ED2"/>
    <w:lvl w:ilvl="0" w:tplc="FF7E3FE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2C06936"/>
    <w:multiLevelType w:val="hybridMultilevel"/>
    <w:tmpl w:val="1DBADE46"/>
    <w:lvl w:ilvl="0" w:tplc="0421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258D4498"/>
    <w:multiLevelType w:val="hybridMultilevel"/>
    <w:tmpl w:val="8432E778"/>
    <w:lvl w:ilvl="0" w:tplc="FF7E3FE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D9866A0"/>
    <w:multiLevelType w:val="hybridMultilevel"/>
    <w:tmpl w:val="0E54FA5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4B65C36"/>
    <w:multiLevelType w:val="hybridMultilevel"/>
    <w:tmpl w:val="6F8A9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D44C6"/>
    <w:multiLevelType w:val="hybridMultilevel"/>
    <w:tmpl w:val="33C209AC"/>
    <w:lvl w:ilvl="0" w:tplc="460A4AF8">
      <w:start w:val="1"/>
      <w:numFmt w:val="bullet"/>
      <w:lvlText w:val=""/>
      <w:lvlJc w:val="left"/>
      <w:pPr>
        <w:ind w:left="1440" w:hanging="360"/>
      </w:pPr>
      <w:rPr>
        <w:rFonts w:ascii="Symbol" w:hAnsi="Symbol"/>
      </w:rPr>
    </w:lvl>
    <w:lvl w:ilvl="1" w:tplc="91D064D6">
      <w:start w:val="1"/>
      <w:numFmt w:val="bullet"/>
      <w:lvlText w:val=""/>
      <w:lvlJc w:val="left"/>
      <w:pPr>
        <w:ind w:left="1440" w:hanging="360"/>
      </w:pPr>
      <w:rPr>
        <w:rFonts w:ascii="Symbol" w:hAnsi="Symbol"/>
      </w:rPr>
    </w:lvl>
    <w:lvl w:ilvl="2" w:tplc="E3443FD4">
      <w:start w:val="1"/>
      <w:numFmt w:val="bullet"/>
      <w:lvlText w:val=""/>
      <w:lvlJc w:val="left"/>
      <w:pPr>
        <w:ind w:left="1440" w:hanging="360"/>
      </w:pPr>
      <w:rPr>
        <w:rFonts w:ascii="Symbol" w:hAnsi="Symbol"/>
      </w:rPr>
    </w:lvl>
    <w:lvl w:ilvl="3" w:tplc="29922A5C">
      <w:start w:val="1"/>
      <w:numFmt w:val="bullet"/>
      <w:lvlText w:val=""/>
      <w:lvlJc w:val="left"/>
      <w:pPr>
        <w:ind w:left="1440" w:hanging="360"/>
      </w:pPr>
      <w:rPr>
        <w:rFonts w:ascii="Symbol" w:hAnsi="Symbol"/>
      </w:rPr>
    </w:lvl>
    <w:lvl w:ilvl="4" w:tplc="9A88FC5C">
      <w:start w:val="1"/>
      <w:numFmt w:val="bullet"/>
      <w:lvlText w:val=""/>
      <w:lvlJc w:val="left"/>
      <w:pPr>
        <w:ind w:left="1440" w:hanging="360"/>
      </w:pPr>
      <w:rPr>
        <w:rFonts w:ascii="Symbol" w:hAnsi="Symbol"/>
      </w:rPr>
    </w:lvl>
    <w:lvl w:ilvl="5" w:tplc="12E404AC">
      <w:start w:val="1"/>
      <w:numFmt w:val="bullet"/>
      <w:lvlText w:val=""/>
      <w:lvlJc w:val="left"/>
      <w:pPr>
        <w:ind w:left="1440" w:hanging="360"/>
      </w:pPr>
      <w:rPr>
        <w:rFonts w:ascii="Symbol" w:hAnsi="Symbol"/>
      </w:rPr>
    </w:lvl>
    <w:lvl w:ilvl="6" w:tplc="941EBEBA">
      <w:start w:val="1"/>
      <w:numFmt w:val="bullet"/>
      <w:lvlText w:val=""/>
      <w:lvlJc w:val="left"/>
      <w:pPr>
        <w:ind w:left="1440" w:hanging="360"/>
      </w:pPr>
      <w:rPr>
        <w:rFonts w:ascii="Symbol" w:hAnsi="Symbol"/>
      </w:rPr>
    </w:lvl>
    <w:lvl w:ilvl="7" w:tplc="6F7C8292">
      <w:start w:val="1"/>
      <w:numFmt w:val="bullet"/>
      <w:lvlText w:val=""/>
      <w:lvlJc w:val="left"/>
      <w:pPr>
        <w:ind w:left="1440" w:hanging="360"/>
      </w:pPr>
      <w:rPr>
        <w:rFonts w:ascii="Symbol" w:hAnsi="Symbol"/>
      </w:rPr>
    </w:lvl>
    <w:lvl w:ilvl="8" w:tplc="A78423E0">
      <w:start w:val="1"/>
      <w:numFmt w:val="bullet"/>
      <w:lvlText w:val=""/>
      <w:lvlJc w:val="left"/>
      <w:pPr>
        <w:ind w:left="1440" w:hanging="360"/>
      </w:pPr>
      <w:rPr>
        <w:rFonts w:ascii="Symbol" w:hAnsi="Symbol"/>
      </w:rPr>
    </w:lvl>
  </w:abstractNum>
  <w:abstractNum w:abstractNumId="16" w15:restartNumberingAfterBreak="0">
    <w:nsid w:val="3B0A2D2A"/>
    <w:multiLevelType w:val="hybridMultilevel"/>
    <w:tmpl w:val="E2DA3FC4"/>
    <w:lvl w:ilvl="0" w:tplc="BF78D8EA">
      <w:start w:val="1"/>
      <w:numFmt w:val="bullet"/>
      <w:lvlText w:val=""/>
      <w:lvlJc w:val="left"/>
      <w:pPr>
        <w:ind w:left="1080" w:hanging="360"/>
      </w:pPr>
      <w:rPr>
        <w:rFonts w:ascii="Symbol" w:hAnsi="Symbol"/>
      </w:rPr>
    </w:lvl>
    <w:lvl w:ilvl="1" w:tplc="0AD25B68">
      <w:start w:val="1"/>
      <w:numFmt w:val="bullet"/>
      <w:lvlText w:val=""/>
      <w:lvlJc w:val="left"/>
      <w:pPr>
        <w:ind w:left="1080" w:hanging="360"/>
      </w:pPr>
      <w:rPr>
        <w:rFonts w:ascii="Symbol" w:hAnsi="Symbol"/>
      </w:rPr>
    </w:lvl>
    <w:lvl w:ilvl="2" w:tplc="00D66320">
      <w:start w:val="1"/>
      <w:numFmt w:val="bullet"/>
      <w:lvlText w:val=""/>
      <w:lvlJc w:val="left"/>
      <w:pPr>
        <w:ind w:left="1080" w:hanging="360"/>
      </w:pPr>
      <w:rPr>
        <w:rFonts w:ascii="Symbol" w:hAnsi="Symbol"/>
      </w:rPr>
    </w:lvl>
    <w:lvl w:ilvl="3" w:tplc="44969CA4">
      <w:start w:val="1"/>
      <w:numFmt w:val="bullet"/>
      <w:lvlText w:val=""/>
      <w:lvlJc w:val="left"/>
      <w:pPr>
        <w:ind w:left="1080" w:hanging="360"/>
      </w:pPr>
      <w:rPr>
        <w:rFonts w:ascii="Symbol" w:hAnsi="Symbol"/>
      </w:rPr>
    </w:lvl>
    <w:lvl w:ilvl="4" w:tplc="F0FCA53E">
      <w:start w:val="1"/>
      <w:numFmt w:val="bullet"/>
      <w:lvlText w:val=""/>
      <w:lvlJc w:val="left"/>
      <w:pPr>
        <w:ind w:left="1080" w:hanging="360"/>
      </w:pPr>
      <w:rPr>
        <w:rFonts w:ascii="Symbol" w:hAnsi="Symbol"/>
      </w:rPr>
    </w:lvl>
    <w:lvl w:ilvl="5" w:tplc="B5945B96">
      <w:start w:val="1"/>
      <w:numFmt w:val="bullet"/>
      <w:lvlText w:val=""/>
      <w:lvlJc w:val="left"/>
      <w:pPr>
        <w:ind w:left="1080" w:hanging="360"/>
      </w:pPr>
      <w:rPr>
        <w:rFonts w:ascii="Symbol" w:hAnsi="Symbol"/>
      </w:rPr>
    </w:lvl>
    <w:lvl w:ilvl="6" w:tplc="F3580952">
      <w:start w:val="1"/>
      <w:numFmt w:val="bullet"/>
      <w:lvlText w:val=""/>
      <w:lvlJc w:val="left"/>
      <w:pPr>
        <w:ind w:left="1080" w:hanging="360"/>
      </w:pPr>
      <w:rPr>
        <w:rFonts w:ascii="Symbol" w:hAnsi="Symbol"/>
      </w:rPr>
    </w:lvl>
    <w:lvl w:ilvl="7" w:tplc="DB7EEDF6">
      <w:start w:val="1"/>
      <w:numFmt w:val="bullet"/>
      <w:lvlText w:val=""/>
      <w:lvlJc w:val="left"/>
      <w:pPr>
        <w:ind w:left="1080" w:hanging="360"/>
      </w:pPr>
      <w:rPr>
        <w:rFonts w:ascii="Symbol" w:hAnsi="Symbol"/>
      </w:rPr>
    </w:lvl>
    <w:lvl w:ilvl="8" w:tplc="893C37D2">
      <w:start w:val="1"/>
      <w:numFmt w:val="bullet"/>
      <w:lvlText w:val=""/>
      <w:lvlJc w:val="left"/>
      <w:pPr>
        <w:ind w:left="1080" w:hanging="360"/>
      </w:pPr>
      <w:rPr>
        <w:rFonts w:ascii="Symbol" w:hAnsi="Symbol"/>
      </w:rPr>
    </w:lvl>
  </w:abstractNum>
  <w:abstractNum w:abstractNumId="17" w15:restartNumberingAfterBreak="0">
    <w:nsid w:val="4DE6249D"/>
    <w:multiLevelType w:val="hybridMultilevel"/>
    <w:tmpl w:val="BC00F4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4E05688D"/>
    <w:multiLevelType w:val="hybridMultilevel"/>
    <w:tmpl w:val="71A8A4B0"/>
    <w:lvl w:ilvl="0" w:tplc="77DE1CAA">
      <w:start w:val="1"/>
      <w:numFmt w:val="bullet"/>
      <w:lvlText w:val=""/>
      <w:lvlJc w:val="left"/>
      <w:pPr>
        <w:ind w:left="1080" w:hanging="360"/>
      </w:pPr>
      <w:rPr>
        <w:rFonts w:ascii="Symbol" w:hAnsi="Symbol"/>
      </w:rPr>
    </w:lvl>
    <w:lvl w:ilvl="1" w:tplc="19CC11A0">
      <w:start w:val="1"/>
      <w:numFmt w:val="bullet"/>
      <w:lvlText w:val=""/>
      <w:lvlJc w:val="left"/>
      <w:pPr>
        <w:ind w:left="1080" w:hanging="360"/>
      </w:pPr>
      <w:rPr>
        <w:rFonts w:ascii="Symbol" w:hAnsi="Symbol"/>
      </w:rPr>
    </w:lvl>
    <w:lvl w:ilvl="2" w:tplc="79728F2E">
      <w:start w:val="1"/>
      <w:numFmt w:val="bullet"/>
      <w:lvlText w:val=""/>
      <w:lvlJc w:val="left"/>
      <w:pPr>
        <w:ind w:left="1080" w:hanging="360"/>
      </w:pPr>
      <w:rPr>
        <w:rFonts w:ascii="Symbol" w:hAnsi="Symbol"/>
      </w:rPr>
    </w:lvl>
    <w:lvl w:ilvl="3" w:tplc="54A2253A">
      <w:start w:val="1"/>
      <w:numFmt w:val="bullet"/>
      <w:lvlText w:val=""/>
      <w:lvlJc w:val="left"/>
      <w:pPr>
        <w:ind w:left="1080" w:hanging="360"/>
      </w:pPr>
      <w:rPr>
        <w:rFonts w:ascii="Symbol" w:hAnsi="Symbol"/>
      </w:rPr>
    </w:lvl>
    <w:lvl w:ilvl="4" w:tplc="9392B62A">
      <w:start w:val="1"/>
      <w:numFmt w:val="bullet"/>
      <w:lvlText w:val=""/>
      <w:lvlJc w:val="left"/>
      <w:pPr>
        <w:ind w:left="1080" w:hanging="360"/>
      </w:pPr>
      <w:rPr>
        <w:rFonts w:ascii="Symbol" w:hAnsi="Symbol"/>
      </w:rPr>
    </w:lvl>
    <w:lvl w:ilvl="5" w:tplc="114AC1E6">
      <w:start w:val="1"/>
      <w:numFmt w:val="bullet"/>
      <w:lvlText w:val=""/>
      <w:lvlJc w:val="left"/>
      <w:pPr>
        <w:ind w:left="1080" w:hanging="360"/>
      </w:pPr>
      <w:rPr>
        <w:rFonts w:ascii="Symbol" w:hAnsi="Symbol"/>
      </w:rPr>
    </w:lvl>
    <w:lvl w:ilvl="6" w:tplc="386292AA">
      <w:start w:val="1"/>
      <w:numFmt w:val="bullet"/>
      <w:lvlText w:val=""/>
      <w:lvlJc w:val="left"/>
      <w:pPr>
        <w:ind w:left="1080" w:hanging="360"/>
      </w:pPr>
      <w:rPr>
        <w:rFonts w:ascii="Symbol" w:hAnsi="Symbol"/>
      </w:rPr>
    </w:lvl>
    <w:lvl w:ilvl="7" w:tplc="2AD0C042">
      <w:start w:val="1"/>
      <w:numFmt w:val="bullet"/>
      <w:lvlText w:val=""/>
      <w:lvlJc w:val="left"/>
      <w:pPr>
        <w:ind w:left="1080" w:hanging="360"/>
      </w:pPr>
      <w:rPr>
        <w:rFonts w:ascii="Symbol" w:hAnsi="Symbol"/>
      </w:rPr>
    </w:lvl>
    <w:lvl w:ilvl="8" w:tplc="58FC3404">
      <w:start w:val="1"/>
      <w:numFmt w:val="bullet"/>
      <w:lvlText w:val=""/>
      <w:lvlJc w:val="left"/>
      <w:pPr>
        <w:ind w:left="1080" w:hanging="360"/>
      </w:pPr>
      <w:rPr>
        <w:rFonts w:ascii="Symbol" w:hAnsi="Symbol"/>
      </w:rPr>
    </w:lvl>
  </w:abstractNum>
  <w:abstractNum w:abstractNumId="19" w15:restartNumberingAfterBreak="0">
    <w:nsid w:val="4F4B4489"/>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2C07C4"/>
    <w:multiLevelType w:val="hybridMultilevel"/>
    <w:tmpl w:val="3AFA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C2535"/>
    <w:multiLevelType w:val="hybridMultilevel"/>
    <w:tmpl w:val="3BE41752"/>
    <w:lvl w:ilvl="0" w:tplc="0421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7A864904"/>
    <w:multiLevelType w:val="hybridMultilevel"/>
    <w:tmpl w:val="8C12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B2573"/>
    <w:multiLevelType w:val="hybridMultilevel"/>
    <w:tmpl w:val="C590A96E"/>
    <w:lvl w:ilvl="0" w:tplc="4FD867E2">
      <w:start w:val="1"/>
      <w:numFmt w:val="bullet"/>
      <w:lvlText w:val=""/>
      <w:lvlJc w:val="left"/>
      <w:pPr>
        <w:ind w:left="1080" w:hanging="360"/>
      </w:pPr>
      <w:rPr>
        <w:rFonts w:ascii="Symbol" w:hAnsi="Symbol"/>
      </w:rPr>
    </w:lvl>
    <w:lvl w:ilvl="1" w:tplc="E6EA3042">
      <w:start w:val="1"/>
      <w:numFmt w:val="bullet"/>
      <w:lvlText w:val=""/>
      <w:lvlJc w:val="left"/>
      <w:pPr>
        <w:ind w:left="1080" w:hanging="360"/>
      </w:pPr>
      <w:rPr>
        <w:rFonts w:ascii="Symbol" w:hAnsi="Symbol"/>
      </w:rPr>
    </w:lvl>
    <w:lvl w:ilvl="2" w:tplc="C1A8F70C">
      <w:start w:val="1"/>
      <w:numFmt w:val="bullet"/>
      <w:lvlText w:val=""/>
      <w:lvlJc w:val="left"/>
      <w:pPr>
        <w:ind w:left="1080" w:hanging="360"/>
      </w:pPr>
      <w:rPr>
        <w:rFonts w:ascii="Symbol" w:hAnsi="Symbol"/>
      </w:rPr>
    </w:lvl>
    <w:lvl w:ilvl="3" w:tplc="406CC554">
      <w:start w:val="1"/>
      <w:numFmt w:val="bullet"/>
      <w:lvlText w:val=""/>
      <w:lvlJc w:val="left"/>
      <w:pPr>
        <w:ind w:left="1080" w:hanging="360"/>
      </w:pPr>
      <w:rPr>
        <w:rFonts w:ascii="Symbol" w:hAnsi="Symbol"/>
      </w:rPr>
    </w:lvl>
    <w:lvl w:ilvl="4" w:tplc="C01C840C">
      <w:start w:val="1"/>
      <w:numFmt w:val="bullet"/>
      <w:lvlText w:val=""/>
      <w:lvlJc w:val="left"/>
      <w:pPr>
        <w:ind w:left="1080" w:hanging="360"/>
      </w:pPr>
      <w:rPr>
        <w:rFonts w:ascii="Symbol" w:hAnsi="Symbol"/>
      </w:rPr>
    </w:lvl>
    <w:lvl w:ilvl="5" w:tplc="5A387A9A">
      <w:start w:val="1"/>
      <w:numFmt w:val="bullet"/>
      <w:lvlText w:val=""/>
      <w:lvlJc w:val="left"/>
      <w:pPr>
        <w:ind w:left="1080" w:hanging="360"/>
      </w:pPr>
      <w:rPr>
        <w:rFonts w:ascii="Symbol" w:hAnsi="Symbol"/>
      </w:rPr>
    </w:lvl>
    <w:lvl w:ilvl="6" w:tplc="0C764CC2">
      <w:start w:val="1"/>
      <w:numFmt w:val="bullet"/>
      <w:lvlText w:val=""/>
      <w:lvlJc w:val="left"/>
      <w:pPr>
        <w:ind w:left="1080" w:hanging="360"/>
      </w:pPr>
      <w:rPr>
        <w:rFonts w:ascii="Symbol" w:hAnsi="Symbol"/>
      </w:rPr>
    </w:lvl>
    <w:lvl w:ilvl="7" w:tplc="27C885CC">
      <w:start w:val="1"/>
      <w:numFmt w:val="bullet"/>
      <w:lvlText w:val=""/>
      <w:lvlJc w:val="left"/>
      <w:pPr>
        <w:ind w:left="1080" w:hanging="360"/>
      </w:pPr>
      <w:rPr>
        <w:rFonts w:ascii="Symbol" w:hAnsi="Symbol"/>
      </w:rPr>
    </w:lvl>
    <w:lvl w:ilvl="8" w:tplc="77FC71A8">
      <w:start w:val="1"/>
      <w:numFmt w:val="bullet"/>
      <w:lvlText w:val=""/>
      <w:lvlJc w:val="left"/>
      <w:pPr>
        <w:ind w:left="1080" w:hanging="360"/>
      </w:pPr>
      <w:rPr>
        <w:rFonts w:ascii="Symbol" w:hAnsi="Symbol"/>
      </w:rPr>
    </w:lvl>
  </w:abstractNum>
  <w:num w:numId="1" w16cid:durableId="148711377">
    <w:abstractNumId w:val="1"/>
  </w:num>
  <w:num w:numId="2" w16cid:durableId="1832911143">
    <w:abstractNumId w:val="6"/>
  </w:num>
  <w:num w:numId="3" w16cid:durableId="628363916">
    <w:abstractNumId w:val="0"/>
  </w:num>
  <w:num w:numId="4" w16cid:durableId="753862081">
    <w:abstractNumId w:val="13"/>
  </w:num>
  <w:num w:numId="5" w16cid:durableId="1778211091">
    <w:abstractNumId w:val="5"/>
  </w:num>
  <w:num w:numId="6" w16cid:durableId="857886096">
    <w:abstractNumId w:val="7"/>
  </w:num>
  <w:num w:numId="7" w16cid:durableId="1356998948">
    <w:abstractNumId w:val="8"/>
  </w:num>
  <w:num w:numId="8" w16cid:durableId="1156604240">
    <w:abstractNumId w:val="22"/>
  </w:num>
  <w:num w:numId="9" w16cid:durableId="1827014528">
    <w:abstractNumId w:val="14"/>
  </w:num>
  <w:num w:numId="10" w16cid:durableId="166212461">
    <w:abstractNumId w:val="20"/>
  </w:num>
  <w:num w:numId="11" w16cid:durableId="712773138">
    <w:abstractNumId w:val="10"/>
  </w:num>
  <w:num w:numId="12" w16cid:durableId="2007438064">
    <w:abstractNumId w:val="4"/>
  </w:num>
  <w:num w:numId="13" w16cid:durableId="1402634141">
    <w:abstractNumId w:val="17"/>
  </w:num>
  <w:num w:numId="14" w16cid:durableId="1112437072">
    <w:abstractNumId w:val="9"/>
  </w:num>
  <w:num w:numId="15" w16cid:durableId="189730418">
    <w:abstractNumId w:val="2"/>
  </w:num>
  <w:num w:numId="16" w16cid:durableId="2066250262">
    <w:abstractNumId w:val="12"/>
  </w:num>
  <w:num w:numId="17" w16cid:durableId="1232732979">
    <w:abstractNumId w:val="19"/>
  </w:num>
  <w:num w:numId="18" w16cid:durableId="1096286843">
    <w:abstractNumId w:val="11"/>
  </w:num>
  <w:num w:numId="19" w16cid:durableId="721712649">
    <w:abstractNumId w:val="21"/>
  </w:num>
  <w:num w:numId="20" w16cid:durableId="500781943">
    <w:abstractNumId w:val="23"/>
  </w:num>
  <w:num w:numId="21" w16cid:durableId="2072843885">
    <w:abstractNumId w:val="18"/>
  </w:num>
  <w:num w:numId="22" w16cid:durableId="1062749554">
    <w:abstractNumId w:val="15"/>
  </w:num>
  <w:num w:numId="23" w16cid:durableId="1040742130">
    <w:abstractNumId w:val="16"/>
  </w:num>
  <w:num w:numId="24" w16cid:durableId="1819373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DKxMLKwMDK2MDRU0lEKTi0uzszPAykwrQUAiJN/xywAAAA="/>
  </w:docVars>
  <w:rsids>
    <w:rsidRoot w:val="00D47ED7"/>
    <w:rsid w:val="0000008A"/>
    <w:rsid w:val="00016AF1"/>
    <w:rsid w:val="00017197"/>
    <w:rsid w:val="00022EC0"/>
    <w:rsid w:val="00025B1B"/>
    <w:rsid w:val="00035516"/>
    <w:rsid w:val="00047AAD"/>
    <w:rsid w:val="00062460"/>
    <w:rsid w:val="00076AE8"/>
    <w:rsid w:val="0007741D"/>
    <w:rsid w:val="000947D9"/>
    <w:rsid w:val="000A3FE8"/>
    <w:rsid w:val="000A700F"/>
    <w:rsid w:val="000D27DF"/>
    <w:rsid w:val="000D4924"/>
    <w:rsid w:val="000E5244"/>
    <w:rsid w:val="000E6E26"/>
    <w:rsid w:val="00105E50"/>
    <w:rsid w:val="001075F8"/>
    <w:rsid w:val="00127565"/>
    <w:rsid w:val="00164A63"/>
    <w:rsid w:val="00194253"/>
    <w:rsid w:val="00196ABF"/>
    <w:rsid w:val="00197B7D"/>
    <w:rsid w:val="001A5F80"/>
    <w:rsid w:val="001B11F5"/>
    <w:rsid w:val="001B240E"/>
    <w:rsid w:val="001E2EBC"/>
    <w:rsid w:val="001F1472"/>
    <w:rsid w:val="00203336"/>
    <w:rsid w:val="0020429F"/>
    <w:rsid w:val="0020508E"/>
    <w:rsid w:val="00206DB7"/>
    <w:rsid w:val="00217F1D"/>
    <w:rsid w:val="0022454F"/>
    <w:rsid w:val="00224A55"/>
    <w:rsid w:val="00245B02"/>
    <w:rsid w:val="00245F2B"/>
    <w:rsid w:val="00250BDB"/>
    <w:rsid w:val="00261A32"/>
    <w:rsid w:val="0026544F"/>
    <w:rsid w:val="00274586"/>
    <w:rsid w:val="00280CEA"/>
    <w:rsid w:val="002A293D"/>
    <w:rsid w:val="002A3469"/>
    <w:rsid w:val="002B7436"/>
    <w:rsid w:val="002E610A"/>
    <w:rsid w:val="002E7DB0"/>
    <w:rsid w:val="002F60FC"/>
    <w:rsid w:val="00300C68"/>
    <w:rsid w:val="00302E1E"/>
    <w:rsid w:val="003105FC"/>
    <w:rsid w:val="00313276"/>
    <w:rsid w:val="0032404A"/>
    <w:rsid w:val="0032435B"/>
    <w:rsid w:val="003256A6"/>
    <w:rsid w:val="00332B23"/>
    <w:rsid w:val="00333126"/>
    <w:rsid w:val="00334555"/>
    <w:rsid w:val="00334B5F"/>
    <w:rsid w:val="00335C09"/>
    <w:rsid w:val="00336037"/>
    <w:rsid w:val="00340145"/>
    <w:rsid w:val="00350D58"/>
    <w:rsid w:val="00353FCD"/>
    <w:rsid w:val="0035695E"/>
    <w:rsid w:val="00371A53"/>
    <w:rsid w:val="00382D8A"/>
    <w:rsid w:val="003B0807"/>
    <w:rsid w:val="003D02D9"/>
    <w:rsid w:val="003D27DD"/>
    <w:rsid w:val="003E2C2A"/>
    <w:rsid w:val="003E439A"/>
    <w:rsid w:val="003E58F9"/>
    <w:rsid w:val="004047FE"/>
    <w:rsid w:val="004249D2"/>
    <w:rsid w:val="00437235"/>
    <w:rsid w:val="00443ADA"/>
    <w:rsid w:val="00463ACE"/>
    <w:rsid w:val="00485E2C"/>
    <w:rsid w:val="004911B4"/>
    <w:rsid w:val="00497B52"/>
    <w:rsid w:val="004B07D0"/>
    <w:rsid w:val="004B783B"/>
    <w:rsid w:val="004C6CDE"/>
    <w:rsid w:val="004E398A"/>
    <w:rsid w:val="004E6DE1"/>
    <w:rsid w:val="004F3E56"/>
    <w:rsid w:val="004F43FA"/>
    <w:rsid w:val="004F774E"/>
    <w:rsid w:val="005000F6"/>
    <w:rsid w:val="00543CCF"/>
    <w:rsid w:val="00571B2A"/>
    <w:rsid w:val="00583C09"/>
    <w:rsid w:val="00594ABC"/>
    <w:rsid w:val="005966E4"/>
    <w:rsid w:val="00596B66"/>
    <w:rsid w:val="005A27D8"/>
    <w:rsid w:val="005C3239"/>
    <w:rsid w:val="005E18F8"/>
    <w:rsid w:val="005E2182"/>
    <w:rsid w:val="005E4C83"/>
    <w:rsid w:val="005F5105"/>
    <w:rsid w:val="00622A27"/>
    <w:rsid w:val="00630937"/>
    <w:rsid w:val="006414FB"/>
    <w:rsid w:val="00644149"/>
    <w:rsid w:val="0064500E"/>
    <w:rsid w:val="00652236"/>
    <w:rsid w:val="00657A85"/>
    <w:rsid w:val="00666353"/>
    <w:rsid w:val="00677437"/>
    <w:rsid w:val="00677F17"/>
    <w:rsid w:val="00685B8F"/>
    <w:rsid w:val="00697652"/>
    <w:rsid w:val="006B3563"/>
    <w:rsid w:val="006B582B"/>
    <w:rsid w:val="006B73F2"/>
    <w:rsid w:val="006C2CE0"/>
    <w:rsid w:val="006E080C"/>
    <w:rsid w:val="006F46F8"/>
    <w:rsid w:val="00713F4B"/>
    <w:rsid w:val="007242FC"/>
    <w:rsid w:val="0073784F"/>
    <w:rsid w:val="00751125"/>
    <w:rsid w:val="007522C9"/>
    <w:rsid w:val="007607D2"/>
    <w:rsid w:val="00762C28"/>
    <w:rsid w:val="00785BCA"/>
    <w:rsid w:val="007A28B0"/>
    <w:rsid w:val="007B5D7B"/>
    <w:rsid w:val="007B647D"/>
    <w:rsid w:val="007C1AE5"/>
    <w:rsid w:val="007C4688"/>
    <w:rsid w:val="007C65A7"/>
    <w:rsid w:val="007D1E5E"/>
    <w:rsid w:val="007E2F3F"/>
    <w:rsid w:val="008006DD"/>
    <w:rsid w:val="0081795A"/>
    <w:rsid w:val="00817AFA"/>
    <w:rsid w:val="00821FAA"/>
    <w:rsid w:val="00827152"/>
    <w:rsid w:val="00831276"/>
    <w:rsid w:val="00846163"/>
    <w:rsid w:val="00855B39"/>
    <w:rsid w:val="0086054F"/>
    <w:rsid w:val="00866621"/>
    <w:rsid w:val="00872E97"/>
    <w:rsid w:val="008774B9"/>
    <w:rsid w:val="008A300F"/>
    <w:rsid w:val="008B4914"/>
    <w:rsid w:val="008B4AC3"/>
    <w:rsid w:val="008C13D8"/>
    <w:rsid w:val="008E704C"/>
    <w:rsid w:val="008F0DFE"/>
    <w:rsid w:val="008F3B9B"/>
    <w:rsid w:val="008F601E"/>
    <w:rsid w:val="008F7D75"/>
    <w:rsid w:val="0091383C"/>
    <w:rsid w:val="00917D54"/>
    <w:rsid w:val="009677E8"/>
    <w:rsid w:val="00976416"/>
    <w:rsid w:val="00977B90"/>
    <w:rsid w:val="009B1FFD"/>
    <w:rsid w:val="009D0101"/>
    <w:rsid w:val="009D22A7"/>
    <w:rsid w:val="009D5BFE"/>
    <w:rsid w:val="009F29A8"/>
    <w:rsid w:val="009F779E"/>
    <w:rsid w:val="00A07195"/>
    <w:rsid w:val="00A326FA"/>
    <w:rsid w:val="00A553EE"/>
    <w:rsid w:val="00A826FF"/>
    <w:rsid w:val="00A848CC"/>
    <w:rsid w:val="00A916DE"/>
    <w:rsid w:val="00AB3778"/>
    <w:rsid w:val="00AD51A1"/>
    <w:rsid w:val="00AE65FE"/>
    <w:rsid w:val="00B01F2F"/>
    <w:rsid w:val="00B0439D"/>
    <w:rsid w:val="00B12082"/>
    <w:rsid w:val="00B14691"/>
    <w:rsid w:val="00B247CF"/>
    <w:rsid w:val="00B25773"/>
    <w:rsid w:val="00B3380B"/>
    <w:rsid w:val="00B42C68"/>
    <w:rsid w:val="00B43B15"/>
    <w:rsid w:val="00B51A85"/>
    <w:rsid w:val="00B80CB7"/>
    <w:rsid w:val="00B8191D"/>
    <w:rsid w:val="00BA497D"/>
    <w:rsid w:val="00BA5A75"/>
    <w:rsid w:val="00BC5F55"/>
    <w:rsid w:val="00BF468F"/>
    <w:rsid w:val="00C17F21"/>
    <w:rsid w:val="00C2479E"/>
    <w:rsid w:val="00C3715D"/>
    <w:rsid w:val="00C515DA"/>
    <w:rsid w:val="00C94C11"/>
    <w:rsid w:val="00CA2DC5"/>
    <w:rsid w:val="00CB4C91"/>
    <w:rsid w:val="00CC684A"/>
    <w:rsid w:val="00CD7A6D"/>
    <w:rsid w:val="00CF17D4"/>
    <w:rsid w:val="00D14BEF"/>
    <w:rsid w:val="00D21F31"/>
    <w:rsid w:val="00D2370B"/>
    <w:rsid w:val="00D260FE"/>
    <w:rsid w:val="00D40D6E"/>
    <w:rsid w:val="00D424A2"/>
    <w:rsid w:val="00D43EA7"/>
    <w:rsid w:val="00D47ED7"/>
    <w:rsid w:val="00D902AB"/>
    <w:rsid w:val="00D9126E"/>
    <w:rsid w:val="00DA1CB9"/>
    <w:rsid w:val="00DB0A7C"/>
    <w:rsid w:val="00DE16B9"/>
    <w:rsid w:val="00E171BB"/>
    <w:rsid w:val="00E17743"/>
    <w:rsid w:val="00E20391"/>
    <w:rsid w:val="00E31F53"/>
    <w:rsid w:val="00E73D48"/>
    <w:rsid w:val="00E80B52"/>
    <w:rsid w:val="00E8251C"/>
    <w:rsid w:val="00E92B4F"/>
    <w:rsid w:val="00EA02BC"/>
    <w:rsid w:val="00EA70C1"/>
    <w:rsid w:val="00EB7631"/>
    <w:rsid w:val="00EC57C8"/>
    <w:rsid w:val="00ED001F"/>
    <w:rsid w:val="00ED2197"/>
    <w:rsid w:val="00EF23CB"/>
    <w:rsid w:val="00F06DB4"/>
    <w:rsid w:val="00F27CC8"/>
    <w:rsid w:val="00F335E6"/>
    <w:rsid w:val="00F33B18"/>
    <w:rsid w:val="00F35533"/>
    <w:rsid w:val="00F42771"/>
    <w:rsid w:val="00F43E47"/>
    <w:rsid w:val="00F46381"/>
    <w:rsid w:val="00F671BD"/>
    <w:rsid w:val="00F74420"/>
    <w:rsid w:val="00F76D57"/>
    <w:rsid w:val="00F833D3"/>
    <w:rsid w:val="00F85AAE"/>
    <w:rsid w:val="00F93F0B"/>
    <w:rsid w:val="00FA09C4"/>
    <w:rsid w:val="00FA0B46"/>
    <w:rsid w:val="00FA2821"/>
    <w:rsid w:val="00FB7AD1"/>
    <w:rsid w:val="00FC1D4C"/>
    <w:rsid w:val="00FC2422"/>
    <w:rsid w:val="00FD39E0"/>
    <w:rsid w:val="00FD5F86"/>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FC7F"/>
  <w15:docId w15:val="{D4861AC5-02FF-4BDF-9814-4C37E810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F779E"/>
    <w:pPr>
      <w:widowControl w:val="0"/>
      <w:autoSpaceDE w:val="0"/>
      <w:autoSpaceDN w:val="0"/>
      <w:spacing w:before="100" w:after="0" w:line="240" w:lineRule="auto"/>
      <w:ind w:left="112"/>
      <w:outlineLvl w:val="0"/>
    </w:pPr>
    <w:rPr>
      <w:rFonts w:ascii="Segoe UI" w:eastAsia="Segoe UI" w:hAnsi="Segoe UI" w:cs="Segoe U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qFormat/>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197B7D"/>
    <w:pPr>
      <w:ind w:left="720"/>
      <w:contextualSpacing/>
    </w:pPr>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qFormat/>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qFormat/>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character" w:customStyle="1" w:styleId="ListParagraphChar">
    <w:name w:val="List Paragraph Char"/>
    <w:link w:val="ListParagraph"/>
    <w:uiPriority w:val="34"/>
    <w:rsid w:val="00B8191D"/>
  </w:style>
  <w:style w:type="paragraph" w:styleId="BodyText">
    <w:name w:val="Body Text"/>
    <w:basedOn w:val="Normal"/>
    <w:link w:val="BodyTextChar"/>
    <w:uiPriority w:val="1"/>
    <w:qFormat/>
    <w:rsid w:val="00B8191D"/>
    <w:pPr>
      <w:widowControl w:val="0"/>
      <w:autoSpaceDE w:val="0"/>
      <w:autoSpaceDN w:val="0"/>
      <w:spacing w:after="0" w:line="240" w:lineRule="auto"/>
      <w:ind w:left="152"/>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character" w:customStyle="1" w:styleId="Heading1Char">
    <w:name w:val="Heading 1 Char"/>
    <w:basedOn w:val="DefaultParagraphFont"/>
    <w:link w:val="Heading1"/>
    <w:uiPriority w:val="1"/>
    <w:rsid w:val="009F779E"/>
    <w:rPr>
      <w:rFonts w:ascii="Segoe UI" w:eastAsia="Segoe UI" w:hAnsi="Segoe UI" w:cs="Segoe UI"/>
      <w:b/>
      <w:bCs/>
      <w:lang w:val="en-US"/>
    </w:rPr>
  </w:style>
  <w:style w:type="paragraph" w:styleId="Title">
    <w:name w:val="Title"/>
    <w:basedOn w:val="Normal"/>
    <w:link w:val="TitleChar"/>
    <w:uiPriority w:val="1"/>
    <w:qFormat/>
    <w:rsid w:val="009F779E"/>
    <w:pPr>
      <w:widowControl w:val="0"/>
      <w:autoSpaceDE w:val="0"/>
      <w:autoSpaceDN w:val="0"/>
      <w:spacing w:before="100" w:after="0" w:line="240" w:lineRule="auto"/>
      <w:ind w:left="340" w:right="423"/>
      <w:jc w:val="center"/>
    </w:pPr>
    <w:rPr>
      <w:rFonts w:ascii="Tahoma" w:eastAsia="Tahoma" w:hAnsi="Tahoma" w:cs="Tahoma"/>
      <w:b/>
      <w:bCs/>
      <w:sz w:val="28"/>
      <w:szCs w:val="28"/>
      <w:lang w:val="en-US"/>
    </w:rPr>
  </w:style>
  <w:style w:type="character" w:customStyle="1" w:styleId="TitleChar">
    <w:name w:val="Title Char"/>
    <w:basedOn w:val="DefaultParagraphFont"/>
    <w:link w:val="Title"/>
    <w:uiPriority w:val="1"/>
    <w:rsid w:val="009F779E"/>
    <w:rPr>
      <w:rFonts w:ascii="Tahoma" w:eastAsia="Tahoma" w:hAnsi="Tahoma" w:cs="Tahoma"/>
      <w:b/>
      <w:bCs/>
      <w:sz w:val="28"/>
      <w:szCs w:val="28"/>
      <w:lang w:val="en-US"/>
    </w:rPr>
  </w:style>
  <w:style w:type="paragraph" w:customStyle="1" w:styleId="TableParagraph">
    <w:name w:val="Table Paragraph"/>
    <w:basedOn w:val="Normal"/>
    <w:uiPriority w:val="1"/>
    <w:qFormat/>
    <w:rsid w:val="009F779E"/>
    <w:pPr>
      <w:widowControl w:val="0"/>
      <w:autoSpaceDE w:val="0"/>
      <w:autoSpaceDN w:val="0"/>
      <w:spacing w:after="0" w:line="226" w:lineRule="exact"/>
      <w:ind w:left="108"/>
    </w:pPr>
    <w:rPr>
      <w:rFonts w:ascii="Times New Roman" w:eastAsia="Times New Roman" w:hAnsi="Times New Roman" w:cs="Times New Roman"/>
      <w:lang w:val="en-US"/>
    </w:rPr>
  </w:style>
  <w:style w:type="character" w:styleId="FootnoteReference">
    <w:name w:val="footnote reference"/>
    <w:aliases w:val="fr"/>
    <w:semiHidden/>
    <w:unhideWhenUsed/>
    <w:qFormat/>
    <w:rsid w:val="008774B9"/>
    <w:rPr>
      <w:rFonts w:ascii="Times New Roman" w:hAnsi="Times New Roman" w:cs="Times New Roman" w:hint="default"/>
      <w:vertAlign w:val="superscript"/>
    </w:rPr>
  </w:style>
  <w:style w:type="character" w:customStyle="1" w:styleId="FootnoteTextChar">
    <w:name w:val="Footnote Text Char"/>
    <w:aliases w:val="Char Char,Footnote Text Char Char Char Char Char,Footnote Text Char Char Char Char1,Char Char Char Char,ft Char,Footnote Text Char Char Char1,Footnote Text Char Char Char Char Cha Char Char Char"/>
    <w:basedOn w:val="DefaultParagraphFont"/>
    <w:link w:val="FootnoteText"/>
    <w:locked/>
    <w:rsid w:val="004E398A"/>
    <w:rPr>
      <w:rFonts w:ascii="Times New Roman" w:eastAsia="Times New Roman" w:hAnsi="Times New Roman" w:cs="Times New Roman"/>
      <w:sz w:val="20"/>
      <w:szCs w:val="20"/>
      <w:lang w:val="en-US"/>
    </w:rPr>
  </w:style>
  <w:style w:type="paragraph" w:styleId="FootnoteText">
    <w:name w:val="footnote text"/>
    <w:aliases w:val="Char,Footnote Text Char Char Char Char,Footnote Text Char Char Char,Char Char Char,ft,Footnote Text Char Char,Footnote Text Char Char Char Char Cha Char Char,Footnote Text Char Char Char Char Cha"/>
    <w:basedOn w:val="Normal"/>
    <w:link w:val="FootnoteTextChar"/>
    <w:unhideWhenUsed/>
    <w:qFormat/>
    <w:rsid w:val="004E398A"/>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4E398A"/>
    <w:rPr>
      <w:sz w:val="20"/>
      <w:szCs w:val="20"/>
    </w:rPr>
  </w:style>
  <w:style w:type="character" w:styleId="UnresolvedMention">
    <w:name w:val="Unresolved Mention"/>
    <w:basedOn w:val="DefaultParagraphFont"/>
    <w:uiPriority w:val="99"/>
    <w:semiHidden/>
    <w:unhideWhenUsed/>
    <w:rsid w:val="00CB4C91"/>
    <w:rPr>
      <w:color w:val="605E5C"/>
      <w:shd w:val="clear" w:color="auto" w:fill="E1DFDD"/>
    </w:rPr>
  </w:style>
  <w:style w:type="character" w:styleId="PlaceholderText">
    <w:name w:val="Placeholder Text"/>
    <w:basedOn w:val="DefaultParagraphFont"/>
    <w:uiPriority w:val="99"/>
    <w:semiHidden/>
    <w:rsid w:val="00F85AAE"/>
    <w:rPr>
      <w:color w:val="666666"/>
    </w:rPr>
  </w:style>
  <w:style w:type="character" w:styleId="FollowedHyperlink">
    <w:name w:val="FollowedHyperlink"/>
    <w:basedOn w:val="DefaultParagraphFont"/>
    <w:uiPriority w:val="99"/>
    <w:semiHidden/>
    <w:unhideWhenUsed/>
    <w:rsid w:val="00F85A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686">
      <w:bodyDiv w:val="1"/>
      <w:marLeft w:val="0"/>
      <w:marRight w:val="0"/>
      <w:marTop w:val="0"/>
      <w:marBottom w:val="0"/>
      <w:divBdr>
        <w:top w:val="none" w:sz="0" w:space="0" w:color="auto"/>
        <w:left w:val="none" w:sz="0" w:space="0" w:color="auto"/>
        <w:bottom w:val="none" w:sz="0" w:space="0" w:color="auto"/>
        <w:right w:val="none" w:sz="0" w:space="0" w:color="auto"/>
      </w:divBdr>
    </w:div>
    <w:div w:id="82454159">
      <w:bodyDiv w:val="1"/>
      <w:marLeft w:val="0"/>
      <w:marRight w:val="0"/>
      <w:marTop w:val="0"/>
      <w:marBottom w:val="0"/>
      <w:divBdr>
        <w:top w:val="none" w:sz="0" w:space="0" w:color="auto"/>
        <w:left w:val="none" w:sz="0" w:space="0" w:color="auto"/>
        <w:bottom w:val="none" w:sz="0" w:space="0" w:color="auto"/>
        <w:right w:val="none" w:sz="0" w:space="0" w:color="auto"/>
      </w:divBdr>
    </w:div>
    <w:div w:id="175849129">
      <w:bodyDiv w:val="1"/>
      <w:marLeft w:val="0"/>
      <w:marRight w:val="0"/>
      <w:marTop w:val="0"/>
      <w:marBottom w:val="0"/>
      <w:divBdr>
        <w:top w:val="none" w:sz="0" w:space="0" w:color="auto"/>
        <w:left w:val="none" w:sz="0" w:space="0" w:color="auto"/>
        <w:bottom w:val="none" w:sz="0" w:space="0" w:color="auto"/>
        <w:right w:val="none" w:sz="0" w:space="0" w:color="auto"/>
      </w:divBdr>
    </w:div>
    <w:div w:id="328101440">
      <w:bodyDiv w:val="1"/>
      <w:marLeft w:val="0"/>
      <w:marRight w:val="0"/>
      <w:marTop w:val="0"/>
      <w:marBottom w:val="0"/>
      <w:divBdr>
        <w:top w:val="none" w:sz="0" w:space="0" w:color="auto"/>
        <w:left w:val="none" w:sz="0" w:space="0" w:color="auto"/>
        <w:bottom w:val="none" w:sz="0" w:space="0" w:color="auto"/>
        <w:right w:val="none" w:sz="0" w:space="0" w:color="auto"/>
      </w:divBdr>
    </w:div>
    <w:div w:id="354888111">
      <w:bodyDiv w:val="1"/>
      <w:marLeft w:val="0"/>
      <w:marRight w:val="0"/>
      <w:marTop w:val="0"/>
      <w:marBottom w:val="0"/>
      <w:divBdr>
        <w:top w:val="none" w:sz="0" w:space="0" w:color="auto"/>
        <w:left w:val="none" w:sz="0" w:space="0" w:color="auto"/>
        <w:bottom w:val="none" w:sz="0" w:space="0" w:color="auto"/>
        <w:right w:val="none" w:sz="0" w:space="0" w:color="auto"/>
      </w:divBdr>
    </w:div>
    <w:div w:id="358820115">
      <w:bodyDiv w:val="1"/>
      <w:marLeft w:val="0"/>
      <w:marRight w:val="0"/>
      <w:marTop w:val="0"/>
      <w:marBottom w:val="0"/>
      <w:divBdr>
        <w:top w:val="none" w:sz="0" w:space="0" w:color="auto"/>
        <w:left w:val="none" w:sz="0" w:space="0" w:color="auto"/>
        <w:bottom w:val="none" w:sz="0" w:space="0" w:color="auto"/>
        <w:right w:val="none" w:sz="0" w:space="0" w:color="auto"/>
      </w:divBdr>
    </w:div>
    <w:div w:id="397439597">
      <w:bodyDiv w:val="1"/>
      <w:marLeft w:val="0"/>
      <w:marRight w:val="0"/>
      <w:marTop w:val="0"/>
      <w:marBottom w:val="0"/>
      <w:divBdr>
        <w:top w:val="none" w:sz="0" w:space="0" w:color="auto"/>
        <w:left w:val="none" w:sz="0" w:space="0" w:color="auto"/>
        <w:bottom w:val="none" w:sz="0" w:space="0" w:color="auto"/>
        <w:right w:val="none" w:sz="0" w:space="0" w:color="auto"/>
      </w:divBdr>
    </w:div>
    <w:div w:id="431632682">
      <w:bodyDiv w:val="1"/>
      <w:marLeft w:val="0"/>
      <w:marRight w:val="0"/>
      <w:marTop w:val="0"/>
      <w:marBottom w:val="0"/>
      <w:divBdr>
        <w:top w:val="none" w:sz="0" w:space="0" w:color="auto"/>
        <w:left w:val="none" w:sz="0" w:space="0" w:color="auto"/>
        <w:bottom w:val="none" w:sz="0" w:space="0" w:color="auto"/>
        <w:right w:val="none" w:sz="0" w:space="0" w:color="auto"/>
      </w:divBdr>
    </w:div>
    <w:div w:id="480999595">
      <w:bodyDiv w:val="1"/>
      <w:marLeft w:val="0"/>
      <w:marRight w:val="0"/>
      <w:marTop w:val="0"/>
      <w:marBottom w:val="0"/>
      <w:divBdr>
        <w:top w:val="none" w:sz="0" w:space="0" w:color="auto"/>
        <w:left w:val="none" w:sz="0" w:space="0" w:color="auto"/>
        <w:bottom w:val="none" w:sz="0" w:space="0" w:color="auto"/>
        <w:right w:val="none" w:sz="0" w:space="0" w:color="auto"/>
      </w:divBdr>
    </w:div>
    <w:div w:id="549851923">
      <w:bodyDiv w:val="1"/>
      <w:marLeft w:val="0"/>
      <w:marRight w:val="0"/>
      <w:marTop w:val="0"/>
      <w:marBottom w:val="0"/>
      <w:divBdr>
        <w:top w:val="none" w:sz="0" w:space="0" w:color="auto"/>
        <w:left w:val="none" w:sz="0" w:space="0" w:color="auto"/>
        <w:bottom w:val="none" w:sz="0" w:space="0" w:color="auto"/>
        <w:right w:val="none" w:sz="0" w:space="0" w:color="auto"/>
      </w:divBdr>
    </w:div>
    <w:div w:id="591202213">
      <w:bodyDiv w:val="1"/>
      <w:marLeft w:val="0"/>
      <w:marRight w:val="0"/>
      <w:marTop w:val="0"/>
      <w:marBottom w:val="0"/>
      <w:divBdr>
        <w:top w:val="none" w:sz="0" w:space="0" w:color="auto"/>
        <w:left w:val="none" w:sz="0" w:space="0" w:color="auto"/>
        <w:bottom w:val="none" w:sz="0" w:space="0" w:color="auto"/>
        <w:right w:val="none" w:sz="0" w:space="0" w:color="auto"/>
      </w:divBdr>
    </w:div>
    <w:div w:id="612250659">
      <w:bodyDiv w:val="1"/>
      <w:marLeft w:val="0"/>
      <w:marRight w:val="0"/>
      <w:marTop w:val="0"/>
      <w:marBottom w:val="0"/>
      <w:divBdr>
        <w:top w:val="none" w:sz="0" w:space="0" w:color="auto"/>
        <w:left w:val="none" w:sz="0" w:space="0" w:color="auto"/>
        <w:bottom w:val="none" w:sz="0" w:space="0" w:color="auto"/>
        <w:right w:val="none" w:sz="0" w:space="0" w:color="auto"/>
      </w:divBdr>
    </w:div>
    <w:div w:id="756092561">
      <w:bodyDiv w:val="1"/>
      <w:marLeft w:val="0"/>
      <w:marRight w:val="0"/>
      <w:marTop w:val="0"/>
      <w:marBottom w:val="0"/>
      <w:divBdr>
        <w:top w:val="none" w:sz="0" w:space="0" w:color="auto"/>
        <w:left w:val="none" w:sz="0" w:space="0" w:color="auto"/>
        <w:bottom w:val="none" w:sz="0" w:space="0" w:color="auto"/>
        <w:right w:val="none" w:sz="0" w:space="0" w:color="auto"/>
      </w:divBdr>
    </w:div>
    <w:div w:id="1043167683">
      <w:bodyDiv w:val="1"/>
      <w:marLeft w:val="0"/>
      <w:marRight w:val="0"/>
      <w:marTop w:val="0"/>
      <w:marBottom w:val="0"/>
      <w:divBdr>
        <w:top w:val="none" w:sz="0" w:space="0" w:color="auto"/>
        <w:left w:val="none" w:sz="0" w:space="0" w:color="auto"/>
        <w:bottom w:val="none" w:sz="0" w:space="0" w:color="auto"/>
        <w:right w:val="none" w:sz="0" w:space="0" w:color="auto"/>
      </w:divBdr>
    </w:div>
    <w:div w:id="1262101874">
      <w:bodyDiv w:val="1"/>
      <w:marLeft w:val="0"/>
      <w:marRight w:val="0"/>
      <w:marTop w:val="0"/>
      <w:marBottom w:val="0"/>
      <w:divBdr>
        <w:top w:val="none" w:sz="0" w:space="0" w:color="auto"/>
        <w:left w:val="none" w:sz="0" w:space="0" w:color="auto"/>
        <w:bottom w:val="none" w:sz="0" w:space="0" w:color="auto"/>
        <w:right w:val="none" w:sz="0" w:space="0" w:color="auto"/>
      </w:divBdr>
    </w:div>
    <w:div w:id="1330206349">
      <w:bodyDiv w:val="1"/>
      <w:marLeft w:val="0"/>
      <w:marRight w:val="0"/>
      <w:marTop w:val="0"/>
      <w:marBottom w:val="0"/>
      <w:divBdr>
        <w:top w:val="none" w:sz="0" w:space="0" w:color="auto"/>
        <w:left w:val="none" w:sz="0" w:space="0" w:color="auto"/>
        <w:bottom w:val="none" w:sz="0" w:space="0" w:color="auto"/>
        <w:right w:val="none" w:sz="0" w:space="0" w:color="auto"/>
      </w:divBdr>
    </w:div>
    <w:div w:id="1672486186">
      <w:bodyDiv w:val="1"/>
      <w:marLeft w:val="0"/>
      <w:marRight w:val="0"/>
      <w:marTop w:val="0"/>
      <w:marBottom w:val="0"/>
      <w:divBdr>
        <w:top w:val="none" w:sz="0" w:space="0" w:color="auto"/>
        <w:left w:val="none" w:sz="0" w:space="0" w:color="auto"/>
        <w:bottom w:val="none" w:sz="0" w:space="0" w:color="auto"/>
        <w:right w:val="none" w:sz="0" w:space="0" w:color="auto"/>
      </w:divBdr>
    </w:div>
    <w:div w:id="1684818036">
      <w:bodyDiv w:val="1"/>
      <w:marLeft w:val="0"/>
      <w:marRight w:val="0"/>
      <w:marTop w:val="0"/>
      <w:marBottom w:val="0"/>
      <w:divBdr>
        <w:top w:val="none" w:sz="0" w:space="0" w:color="auto"/>
        <w:left w:val="none" w:sz="0" w:space="0" w:color="auto"/>
        <w:bottom w:val="none" w:sz="0" w:space="0" w:color="auto"/>
        <w:right w:val="none" w:sz="0" w:space="0" w:color="auto"/>
      </w:divBdr>
    </w:div>
    <w:div w:id="1878739333">
      <w:bodyDiv w:val="1"/>
      <w:marLeft w:val="0"/>
      <w:marRight w:val="0"/>
      <w:marTop w:val="0"/>
      <w:marBottom w:val="0"/>
      <w:divBdr>
        <w:top w:val="none" w:sz="0" w:space="0" w:color="auto"/>
        <w:left w:val="none" w:sz="0" w:space="0" w:color="auto"/>
        <w:bottom w:val="none" w:sz="0" w:space="0" w:color="auto"/>
        <w:right w:val="none" w:sz="0" w:space="0" w:color="auto"/>
      </w:divBdr>
    </w:div>
    <w:div w:id="1886327706">
      <w:bodyDiv w:val="1"/>
      <w:marLeft w:val="0"/>
      <w:marRight w:val="0"/>
      <w:marTop w:val="0"/>
      <w:marBottom w:val="0"/>
      <w:divBdr>
        <w:top w:val="none" w:sz="0" w:space="0" w:color="auto"/>
        <w:left w:val="none" w:sz="0" w:space="0" w:color="auto"/>
        <w:bottom w:val="none" w:sz="0" w:space="0" w:color="auto"/>
        <w:right w:val="none" w:sz="0" w:space="0" w:color="auto"/>
      </w:divBdr>
    </w:div>
    <w:div w:id="1887333996">
      <w:bodyDiv w:val="1"/>
      <w:marLeft w:val="0"/>
      <w:marRight w:val="0"/>
      <w:marTop w:val="0"/>
      <w:marBottom w:val="0"/>
      <w:divBdr>
        <w:top w:val="none" w:sz="0" w:space="0" w:color="auto"/>
        <w:left w:val="none" w:sz="0" w:space="0" w:color="auto"/>
        <w:bottom w:val="none" w:sz="0" w:space="0" w:color="auto"/>
        <w:right w:val="none" w:sz="0" w:space="0" w:color="auto"/>
      </w:divBdr>
    </w:div>
    <w:div w:id="1976057044">
      <w:bodyDiv w:val="1"/>
      <w:marLeft w:val="0"/>
      <w:marRight w:val="0"/>
      <w:marTop w:val="0"/>
      <w:marBottom w:val="0"/>
      <w:divBdr>
        <w:top w:val="none" w:sz="0" w:space="0" w:color="auto"/>
        <w:left w:val="none" w:sz="0" w:space="0" w:color="auto"/>
        <w:bottom w:val="none" w:sz="0" w:space="0" w:color="auto"/>
        <w:right w:val="none" w:sz="0" w:space="0" w:color="auto"/>
      </w:divBdr>
    </w:div>
    <w:div w:id="2123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faqihr464@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 No. -, Month Year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233A7B-D9F2-4096-944C-8DE8DCB9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10658</Words>
  <Characters>60753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Article Title</vt:lpstr>
    </vt:vector>
  </TitlesOfParts>
  <Company>Author (s) Name, 10 pt Book Antiqua</Company>
  <LinksUpToDate>false</LinksUpToDate>
  <CharactersWithSpaces>71269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Title</dc:title>
  <dc:creator>User</dc:creator>
  <cp:lastModifiedBy>Elsa elsa</cp:lastModifiedBy>
  <cp:revision>2</cp:revision>
  <dcterms:created xsi:type="dcterms:W3CDTF">2026-02-28T03:52:00Z</dcterms:created>
  <dcterms:modified xsi:type="dcterms:W3CDTF">2026-02-28T03:52:00Z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https://csl.mendeley.com/styles/475823531/apa</vt:lpwstr>
  </property>
  <property fmtid="{D5CDD505-2E9C-101B-9397-08002B2CF9AE}" pid="3" name="Mendeley Recent Style Name 0_1">
    <vt:lpwstr>American Psychological Association 6th edition - Mincho Slavov</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3db8ad38-08b6-382f-8e55-bedd1dcb0113</vt:lpwstr>
  </property>
  <property fmtid="{D5CDD505-2E9C-101B-9397-08002B2CF9AE}" pid="24" name="Mendeley Citation Style_1">
    <vt:lpwstr>http://www.zotero.org/styles/apa</vt:lpwstr>
  </property>
  <property fmtid="{D5CDD505-2E9C-101B-9397-08002B2CF9AE}" pid="25" name="GrammarlyDocumentId">
    <vt:lpwstr>fbe9124b-320e-4c4c-9e60-22cbfdec8cb4</vt:lpwstr>
  </property>
</Properties>
</file>